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7BF6C2" w14:textId="77777777" w:rsidR="005F1735" w:rsidRPr="00804602" w:rsidRDefault="005F1735" w:rsidP="00246A09">
      <w:pPr>
        <w:spacing w:after="0"/>
        <w:rPr>
          <w:rFonts w:ascii="AGaramond" w:hAnsi="AGaramond"/>
          <w:b/>
          <w:sz w:val="22"/>
          <w:lang w:val="pt-PT"/>
        </w:rPr>
      </w:pPr>
      <w:bookmarkStart w:id="0" w:name="_GoBack"/>
      <w:bookmarkEnd w:id="0"/>
    </w:p>
    <w:p w14:paraId="00B659C1" w14:textId="77777777" w:rsidR="005F1735" w:rsidRPr="00804602" w:rsidRDefault="005F1735" w:rsidP="00246A09">
      <w:pPr>
        <w:spacing w:after="0"/>
        <w:rPr>
          <w:rFonts w:ascii="AGaramond" w:hAnsi="AGaramond"/>
          <w:b/>
          <w:sz w:val="22"/>
          <w:lang w:val="en-GB"/>
        </w:rPr>
      </w:pPr>
    </w:p>
    <w:p w14:paraId="6E9DFC87" w14:textId="77777777" w:rsidR="00804602" w:rsidRPr="00804602" w:rsidRDefault="00804602" w:rsidP="00246A09">
      <w:pPr>
        <w:spacing w:after="0"/>
        <w:rPr>
          <w:rFonts w:ascii="AGaramond" w:hAnsi="AGaramond"/>
          <w:b/>
          <w:sz w:val="32"/>
          <w:lang w:val="en-GB"/>
        </w:rPr>
      </w:pPr>
    </w:p>
    <w:p w14:paraId="3DEDC8D2" w14:textId="77777777" w:rsidR="00804602" w:rsidRPr="00804602" w:rsidRDefault="00804602" w:rsidP="00246A09">
      <w:pPr>
        <w:spacing w:after="0"/>
        <w:rPr>
          <w:rFonts w:ascii="AGaramond" w:hAnsi="AGaramond"/>
          <w:b/>
          <w:sz w:val="32"/>
          <w:lang w:val="en-GB"/>
        </w:rPr>
      </w:pPr>
    </w:p>
    <w:p w14:paraId="663DF661" w14:textId="77777777" w:rsidR="009F3C46" w:rsidRPr="00804602" w:rsidRDefault="00A46C37" w:rsidP="00AF7E49">
      <w:pPr>
        <w:spacing w:after="0"/>
        <w:outlineLvl w:val="0"/>
        <w:rPr>
          <w:rFonts w:ascii="AGaramond" w:hAnsi="AGaramond"/>
          <w:b/>
          <w:sz w:val="32"/>
          <w:lang w:val="en-GB"/>
        </w:rPr>
      </w:pPr>
      <w:r w:rsidRPr="00804602">
        <w:rPr>
          <w:rFonts w:ascii="AGaramond" w:hAnsi="AGaramond"/>
          <w:b/>
          <w:sz w:val="32"/>
          <w:lang w:val="en-GB"/>
        </w:rPr>
        <w:t xml:space="preserve">THE PRAGMATICS OF </w:t>
      </w:r>
      <w:r w:rsidR="00F3050D" w:rsidRPr="00804602">
        <w:rPr>
          <w:rFonts w:ascii="AGaramond" w:hAnsi="AGaramond"/>
          <w:b/>
          <w:sz w:val="32"/>
          <w:lang w:val="en-GB"/>
        </w:rPr>
        <w:t xml:space="preserve">ARCHITECTURAL </w:t>
      </w:r>
      <w:r w:rsidR="00524324" w:rsidRPr="00804602">
        <w:rPr>
          <w:rFonts w:ascii="AGaramond" w:hAnsi="AGaramond"/>
          <w:b/>
          <w:sz w:val="32"/>
          <w:lang w:val="en-GB"/>
        </w:rPr>
        <w:t>ENUNCIATION</w:t>
      </w:r>
    </w:p>
    <w:p w14:paraId="7221DC20" w14:textId="77777777" w:rsidR="00D37314" w:rsidRPr="00804602" w:rsidRDefault="00D37314" w:rsidP="00246A09">
      <w:pPr>
        <w:spacing w:after="0"/>
        <w:rPr>
          <w:rFonts w:ascii="AGaramond" w:hAnsi="AGaramond"/>
          <w:lang w:val="en-GB"/>
        </w:rPr>
      </w:pPr>
    </w:p>
    <w:p w14:paraId="18069F41" w14:textId="77777777" w:rsidR="00804602" w:rsidRPr="00804602" w:rsidRDefault="006F2FC3" w:rsidP="00AF7E49">
      <w:pPr>
        <w:spacing w:after="0"/>
        <w:outlineLvl w:val="0"/>
        <w:rPr>
          <w:rFonts w:ascii="AGaramond" w:hAnsi="AGaramond"/>
          <w:sz w:val="22"/>
          <w:lang w:val="en-GB"/>
        </w:rPr>
      </w:pPr>
      <w:r w:rsidRPr="00804602">
        <w:rPr>
          <w:rFonts w:ascii="AGaramond" w:hAnsi="AGaramond"/>
          <w:sz w:val="22"/>
          <w:lang w:val="en-GB"/>
        </w:rPr>
        <w:t>Authors: Godofredo Pereira and</w:t>
      </w:r>
      <w:r w:rsidR="00D37314" w:rsidRPr="00804602">
        <w:rPr>
          <w:rFonts w:ascii="AGaramond" w:hAnsi="AGaramond"/>
          <w:sz w:val="22"/>
          <w:lang w:val="en-GB"/>
        </w:rPr>
        <w:t xml:space="preserve"> Susana Caló</w:t>
      </w:r>
    </w:p>
    <w:p w14:paraId="51183C2E" w14:textId="77777777" w:rsidR="00804602" w:rsidRPr="00804602" w:rsidRDefault="00804602" w:rsidP="00246A09">
      <w:pPr>
        <w:spacing w:after="0"/>
        <w:rPr>
          <w:rFonts w:ascii="AGaramond" w:hAnsi="AGaramond"/>
          <w:sz w:val="22"/>
          <w:lang w:val="en-GB"/>
        </w:rPr>
      </w:pPr>
    </w:p>
    <w:p w14:paraId="29C99A10" w14:textId="77777777" w:rsidR="00E057F1" w:rsidRPr="00804602" w:rsidRDefault="00804602" w:rsidP="00246A09">
      <w:pPr>
        <w:spacing w:after="0"/>
        <w:rPr>
          <w:rFonts w:ascii="AGaramond" w:hAnsi="AGaramond"/>
          <w:sz w:val="22"/>
          <w:lang w:val="en-GB"/>
        </w:rPr>
      </w:pPr>
      <w:r w:rsidRPr="00804602">
        <w:rPr>
          <w:rFonts w:ascii="AGaramond" w:hAnsi="AGaramond"/>
          <w:sz w:val="22"/>
          <w:lang w:val="en-GB"/>
        </w:rPr>
        <w:t xml:space="preserve">[forthcoming Architectural Theory Review – </w:t>
      </w:r>
      <w:r w:rsidRPr="00804602">
        <w:rPr>
          <w:rFonts w:ascii="AGaramond" w:hAnsi="AGaramond"/>
          <w:color w:val="FF0000"/>
          <w:sz w:val="22"/>
          <w:lang w:val="en-GB"/>
        </w:rPr>
        <w:t>PLEASE</w:t>
      </w:r>
      <w:r w:rsidRPr="00804602">
        <w:rPr>
          <w:rFonts w:ascii="AGaramond" w:hAnsi="AGaramond"/>
          <w:sz w:val="22"/>
          <w:lang w:val="en-GB"/>
        </w:rPr>
        <w:t xml:space="preserve"> </w:t>
      </w:r>
      <w:r w:rsidRPr="00804602">
        <w:rPr>
          <w:rFonts w:ascii="AGaramond" w:hAnsi="AGaramond"/>
          <w:color w:val="FF0000"/>
          <w:sz w:val="22"/>
          <w:lang w:val="en-GB"/>
        </w:rPr>
        <w:t>DO NOT CIRCULATE</w:t>
      </w:r>
      <w:r w:rsidRPr="00804602">
        <w:rPr>
          <w:rFonts w:ascii="AGaramond" w:hAnsi="AGaramond"/>
          <w:sz w:val="22"/>
          <w:lang w:val="en-GB"/>
        </w:rPr>
        <w:t>]</w:t>
      </w:r>
    </w:p>
    <w:p w14:paraId="36281A20" w14:textId="77777777" w:rsidR="00E057F1" w:rsidRPr="00804602" w:rsidRDefault="00E057F1" w:rsidP="00246A09">
      <w:pPr>
        <w:spacing w:after="0"/>
        <w:rPr>
          <w:rFonts w:ascii="AGaramond" w:hAnsi="AGaramond"/>
          <w:sz w:val="22"/>
          <w:lang w:val="en-GB"/>
        </w:rPr>
      </w:pPr>
    </w:p>
    <w:p w14:paraId="3B7F0DF3" w14:textId="77777777" w:rsidR="00E057F1" w:rsidRPr="00804602" w:rsidRDefault="00E057F1" w:rsidP="00246A09">
      <w:pPr>
        <w:spacing w:after="0"/>
        <w:rPr>
          <w:rFonts w:ascii="AGaramond" w:hAnsi="AGaramond"/>
          <w:b/>
          <w:sz w:val="22"/>
          <w:lang w:val="en-GB"/>
        </w:rPr>
      </w:pPr>
    </w:p>
    <w:p w14:paraId="1446F254" w14:textId="77777777" w:rsidR="00E057F1" w:rsidRPr="00804602" w:rsidRDefault="00E057F1" w:rsidP="00246A09">
      <w:pPr>
        <w:spacing w:after="0"/>
        <w:rPr>
          <w:rFonts w:ascii="AGaramond" w:hAnsi="AGaramond"/>
          <w:b/>
          <w:sz w:val="22"/>
          <w:lang w:val="en-GB"/>
        </w:rPr>
      </w:pPr>
    </w:p>
    <w:p w14:paraId="00CB4C33" w14:textId="77777777" w:rsidR="009734AB" w:rsidRPr="00804602" w:rsidRDefault="009734AB" w:rsidP="00246A09">
      <w:pPr>
        <w:spacing w:after="0"/>
        <w:rPr>
          <w:rFonts w:ascii="AGaramond" w:hAnsi="AGaramond"/>
          <w:b/>
          <w:sz w:val="22"/>
          <w:lang w:val="en-GB"/>
        </w:rPr>
      </w:pPr>
    </w:p>
    <w:p w14:paraId="1236DF2D" w14:textId="77777777" w:rsidR="0006492D" w:rsidRPr="00804602" w:rsidRDefault="0006492D" w:rsidP="005D4A4B">
      <w:pPr>
        <w:spacing w:after="0"/>
        <w:rPr>
          <w:rFonts w:ascii="AGaramond" w:hAnsi="AGaramond"/>
          <w:b/>
          <w:sz w:val="22"/>
          <w:lang w:val="en-GB"/>
        </w:rPr>
      </w:pPr>
    </w:p>
    <w:p w14:paraId="5E1C7FFD" w14:textId="77777777" w:rsidR="005D4A4B" w:rsidRPr="00804602" w:rsidRDefault="005D4A4B" w:rsidP="005D4A4B">
      <w:pPr>
        <w:spacing w:after="0"/>
        <w:rPr>
          <w:rFonts w:ascii="AGaramond" w:hAnsi="AGaramond"/>
          <w:b/>
          <w:sz w:val="22"/>
          <w:lang w:val="en-GB"/>
        </w:rPr>
      </w:pPr>
      <w:r w:rsidRPr="00804602">
        <w:rPr>
          <w:rFonts w:ascii="AGaramond" w:hAnsi="AGaramond"/>
          <w:b/>
          <w:sz w:val="22"/>
          <w:lang w:val="en-GB"/>
        </w:rPr>
        <w:t>1</w:t>
      </w:r>
      <w:r w:rsidR="0081006F" w:rsidRPr="00804602">
        <w:rPr>
          <w:rFonts w:ascii="AGaramond" w:hAnsi="AGaramond"/>
          <w:b/>
          <w:sz w:val="22"/>
          <w:lang w:val="en-GB"/>
        </w:rPr>
        <w:t xml:space="preserve"> </w:t>
      </w:r>
    </w:p>
    <w:p w14:paraId="0666EC8F" w14:textId="77777777" w:rsidR="00804602" w:rsidRPr="00804602" w:rsidRDefault="005B0157" w:rsidP="005D0E32">
      <w:pPr>
        <w:widowControl w:val="0"/>
        <w:autoSpaceDE w:val="0"/>
        <w:autoSpaceDN w:val="0"/>
        <w:adjustRightInd w:val="0"/>
        <w:spacing w:after="0"/>
        <w:rPr>
          <w:rFonts w:ascii="AGaramond" w:hAnsi="AGaramond" w:cs="Times New Roman"/>
          <w:sz w:val="22"/>
          <w:szCs w:val="18"/>
          <w:u w:val="single"/>
        </w:rPr>
      </w:pPr>
      <w:r w:rsidRPr="00804602">
        <w:rPr>
          <w:rFonts w:ascii="AGaramond" w:hAnsi="AGaramond" w:cs="Times New Roman"/>
          <w:sz w:val="22"/>
          <w:szCs w:val="18"/>
        </w:rPr>
        <w:t>From local political transformations to territorial and geopolitical ones; from real-estate projects to disciplinary debates; from technological developments</w:t>
      </w:r>
      <w:r w:rsidR="00C71C44" w:rsidRPr="00804602">
        <w:rPr>
          <w:rFonts w:ascii="AGaramond" w:hAnsi="AGaramond" w:cs="Times New Roman"/>
          <w:sz w:val="22"/>
          <w:szCs w:val="18"/>
        </w:rPr>
        <w:t xml:space="preserve"> to mutations in domestic life – </w:t>
      </w:r>
      <w:r w:rsidRPr="00804602">
        <w:rPr>
          <w:rFonts w:ascii="AGaramond" w:hAnsi="AGaramond" w:cs="Times New Roman"/>
          <w:sz w:val="22"/>
          <w:szCs w:val="18"/>
        </w:rPr>
        <w:t xml:space="preserve">architecture </w:t>
      </w:r>
      <w:r w:rsidR="00A069EC" w:rsidRPr="00804602">
        <w:rPr>
          <w:rFonts w:ascii="AGaramond" w:hAnsi="AGaramond" w:cs="Times New Roman"/>
          <w:sz w:val="22"/>
          <w:szCs w:val="18"/>
        </w:rPr>
        <w:t>participates in</w:t>
      </w:r>
      <w:r w:rsidR="00FB2935" w:rsidRPr="00804602">
        <w:rPr>
          <w:rFonts w:ascii="AGaramond" w:hAnsi="AGaramond" w:cs="Times New Roman"/>
          <w:sz w:val="22"/>
          <w:szCs w:val="18"/>
        </w:rPr>
        <w:t xml:space="preserve">, </w:t>
      </w:r>
      <w:r w:rsidR="00394DFB" w:rsidRPr="00804602">
        <w:rPr>
          <w:rFonts w:ascii="AGaramond" w:hAnsi="AGaramond" w:cs="Times New Roman"/>
          <w:sz w:val="22"/>
          <w:szCs w:val="18"/>
        </w:rPr>
        <w:t xml:space="preserve">transforms and </w:t>
      </w:r>
      <w:r w:rsidRPr="00804602">
        <w:rPr>
          <w:rFonts w:ascii="AGaramond" w:hAnsi="AGaramond" w:cs="Times New Roman"/>
          <w:sz w:val="22"/>
          <w:szCs w:val="18"/>
        </w:rPr>
        <w:t xml:space="preserve">reorganizes </w:t>
      </w:r>
      <w:r w:rsidR="004D482A" w:rsidRPr="00804602">
        <w:rPr>
          <w:rFonts w:ascii="AGaramond" w:hAnsi="AGaramond" w:cs="Times New Roman"/>
          <w:sz w:val="22"/>
          <w:szCs w:val="18"/>
        </w:rPr>
        <w:t xml:space="preserve">very </w:t>
      </w:r>
      <w:r w:rsidR="00E00794" w:rsidRPr="00804602">
        <w:rPr>
          <w:rFonts w:ascii="AGaramond" w:hAnsi="AGaramond" w:cs="Times New Roman"/>
          <w:sz w:val="22"/>
          <w:szCs w:val="18"/>
        </w:rPr>
        <w:t>differe</w:t>
      </w:r>
      <w:r w:rsidR="00FB2935" w:rsidRPr="00804602">
        <w:rPr>
          <w:rFonts w:ascii="AGaramond" w:hAnsi="AGaramond" w:cs="Times New Roman"/>
          <w:sz w:val="22"/>
          <w:szCs w:val="18"/>
        </w:rPr>
        <w:t>nt</w:t>
      </w:r>
      <w:r w:rsidRPr="00804602">
        <w:rPr>
          <w:rFonts w:ascii="AGaramond" w:hAnsi="AGaramond" w:cs="Times New Roman"/>
          <w:sz w:val="22"/>
          <w:szCs w:val="18"/>
        </w:rPr>
        <w:t xml:space="preserve"> socio-material assemblages.</w:t>
      </w:r>
      <w:r w:rsidR="004D482A" w:rsidRPr="00804602">
        <w:rPr>
          <w:rFonts w:ascii="AGaramond" w:hAnsi="AGaramond" w:cs="Times New Roman"/>
          <w:sz w:val="22"/>
          <w:szCs w:val="18"/>
        </w:rPr>
        <w:t xml:space="preserve"> </w:t>
      </w:r>
      <w:r w:rsidR="004E4362" w:rsidRPr="00804602">
        <w:rPr>
          <w:rFonts w:ascii="AGaramond" w:hAnsi="AGaramond" w:cs="Times New Roman"/>
          <w:sz w:val="22"/>
          <w:szCs w:val="18"/>
        </w:rPr>
        <w:t xml:space="preserve">And yet </w:t>
      </w:r>
      <w:r w:rsidR="00897EFA" w:rsidRPr="00804602">
        <w:rPr>
          <w:rFonts w:ascii="AGaramond" w:hAnsi="AGaramond" w:cs="Times New Roman"/>
          <w:sz w:val="22"/>
          <w:szCs w:val="18"/>
        </w:rPr>
        <w:t xml:space="preserve">very little of this gets adequately framed in architectural theory. </w:t>
      </w:r>
      <w:r w:rsidR="00057DE4" w:rsidRPr="00804602">
        <w:rPr>
          <w:rFonts w:ascii="AGaramond" w:hAnsi="AGaramond" w:cs="Times New Roman"/>
          <w:sz w:val="22"/>
          <w:szCs w:val="18"/>
        </w:rPr>
        <w:t>W</w:t>
      </w:r>
      <w:r w:rsidR="001B3441" w:rsidRPr="00804602">
        <w:rPr>
          <w:rFonts w:ascii="AGaramond" w:hAnsi="AGaramond" w:cs="Times New Roman"/>
          <w:sz w:val="22"/>
          <w:szCs w:val="18"/>
        </w:rPr>
        <w:t xml:space="preserve">hile </w:t>
      </w:r>
      <w:r w:rsidR="00057DE4" w:rsidRPr="00804602">
        <w:rPr>
          <w:rFonts w:ascii="AGaramond" w:hAnsi="AGaramond" w:cs="Times New Roman"/>
          <w:sz w:val="22"/>
          <w:szCs w:val="18"/>
        </w:rPr>
        <w:t xml:space="preserve">critical </w:t>
      </w:r>
      <w:r w:rsidR="00F3050D" w:rsidRPr="00804602">
        <w:rPr>
          <w:rFonts w:ascii="AGaramond" w:hAnsi="AGaramond" w:cs="Times New Roman"/>
          <w:sz w:val="22"/>
          <w:szCs w:val="18"/>
        </w:rPr>
        <w:t>analyses commonly disregard</w:t>
      </w:r>
      <w:r w:rsidR="008D5769" w:rsidRPr="00804602">
        <w:rPr>
          <w:rFonts w:ascii="AGaramond" w:hAnsi="AGaramond" w:cs="Times New Roman"/>
          <w:sz w:val="22"/>
          <w:szCs w:val="18"/>
        </w:rPr>
        <w:t xml:space="preserve"> </w:t>
      </w:r>
      <w:r w:rsidR="002E2196" w:rsidRPr="00804602">
        <w:rPr>
          <w:rFonts w:ascii="AGaramond" w:hAnsi="AGaramond" w:cs="Times New Roman"/>
          <w:sz w:val="22"/>
          <w:szCs w:val="18"/>
        </w:rPr>
        <w:t>the</w:t>
      </w:r>
      <w:r w:rsidR="004C0BD1" w:rsidRPr="00804602">
        <w:rPr>
          <w:rFonts w:ascii="AGaramond" w:hAnsi="AGaramond" w:cs="Times New Roman"/>
          <w:sz w:val="22"/>
          <w:szCs w:val="18"/>
        </w:rPr>
        <w:t xml:space="preserve"> </w:t>
      </w:r>
      <w:r w:rsidR="00E91A2C" w:rsidRPr="00804602">
        <w:rPr>
          <w:rFonts w:ascii="AGaramond" w:hAnsi="AGaramond" w:cs="Times New Roman"/>
          <w:sz w:val="22"/>
          <w:szCs w:val="18"/>
        </w:rPr>
        <w:t xml:space="preserve">multiplicity and </w:t>
      </w:r>
      <w:r w:rsidR="004C0BD1" w:rsidRPr="00804602">
        <w:rPr>
          <w:rFonts w:ascii="AGaramond" w:hAnsi="AGaramond" w:cs="Times New Roman"/>
          <w:sz w:val="22"/>
          <w:szCs w:val="18"/>
        </w:rPr>
        <w:t>heterogeneity</w:t>
      </w:r>
      <w:r w:rsidR="002E2196" w:rsidRPr="00804602">
        <w:rPr>
          <w:rFonts w:ascii="AGaramond" w:hAnsi="AGaramond" w:cs="Times New Roman"/>
          <w:sz w:val="22"/>
          <w:szCs w:val="18"/>
        </w:rPr>
        <w:t xml:space="preserve"> of </w:t>
      </w:r>
      <w:r w:rsidR="00C71C44" w:rsidRPr="00804602">
        <w:rPr>
          <w:rFonts w:ascii="AGaramond" w:hAnsi="AGaramond" w:cs="Times New Roman"/>
          <w:sz w:val="22"/>
          <w:szCs w:val="18"/>
        </w:rPr>
        <w:t xml:space="preserve">the </w:t>
      </w:r>
      <w:r w:rsidR="00BF314B" w:rsidRPr="00804602">
        <w:rPr>
          <w:rFonts w:ascii="AGaramond" w:hAnsi="AGaramond" w:cs="Times New Roman"/>
          <w:sz w:val="22"/>
          <w:szCs w:val="18"/>
        </w:rPr>
        <w:t xml:space="preserve">forces at work in the </w:t>
      </w:r>
      <w:r w:rsidR="00657041" w:rsidRPr="00804602">
        <w:rPr>
          <w:rFonts w:ascii="AGaramond" w:hAnsi="AGaramond" w:cs="Times New Roman"/>
          <w:sz w:val="22"/>
          <w:szCs w:val="18"/>
        </w:rPr>
        <w:t>design</w:t>
      </w:r>
      <w:r w:rsidR="00D62542" w:rsidRPr="00804602">
        <w:rPr>
          <w:rFonts w:ascii="AGaramond" w:hAnsi="AGaramond" w:cs="Times New Roman"/>
          <w:sz w:val="22"/>
          <w:szCs w:val="18"/>
        </w:rPr>
        <w:t xml:space="preserve"> in </w:t>
      </w:r>
      <w:r w:rsidR="00BF2B23" w:rsidRPr="00804602">
        <w:rPr>
          <w:rFonts w:ascii="AGaramond" w:hAnsi="AGaramond" w:cs="Times New Roman"/>
          <w:sz w:val="22"/>
          <w:szCs w:val="18"/>
        </w:rPr>
        <w:t>the</w:t>
      </w:r>
      <w:r w:rsidR="00F3050D" w:rsidRPr="00804602">
        <w:rPr>
          <w:rFonts w:ascii="AGaramond" w:hAnsi="AGaramond" w:cs="Times New Roman"/>
          <w:sz w:val="22"/>
          <w:szCs w:val="18"/>
        </w:rPr>
        <w:t>ir</w:t>
      </w:r>
      <w:r w:rsidR="00BF2B23" w:rsidRPr="00804602">
        <w:rPr>
          <w:rFonts w:ascii="AGaramond" w:hAnsi="AGaramond" w:cs="Times New Roman"/>
          <w:sz w:val="22"/>
          <w:szCs w:val="18"/>
        </w:rPr>
        <w:t xml:space="preserve"> quest for</w:t>
      </w:r>
      <w:r w:rsidR="00D62542" w:rsidRPr="00804602">
        <w:rPr>
          <w:rFonts w:ascii="AGaramond" w:hAnsi="AGaramond" w:cs="Times New Roman"/>
          <w:sz w:val="22"/>
          <w:szCs w:val="18"/>
        </w:rPr>
        <w:t xml:space="preserve"> </w:t>
      </w:r>
      <w:r w:rsidR="00F3050D" w:rsidRPr="00804602">
        <w:rPr>
          <w:rFonts w:ascii="AGaramond" w:hAnsi="AGaramond" w:cs="Times New Roman"/>
          <w:sz w:val="22"/>
          <w:szCs w:val="18"/>
        </w:rPr>
        <w:t>overarching ideas and concepts</w:t>
      </w:r>
      <w:r w:rsidR="001B3441" w:rsidRPr="00804602">
        <w:rPr>
          <w:rFonts w:ascii="AGaramond" w:hAnsi="AGaramond" w:cs="Times New Roman"/>
          <w:sz w:val="22"/>
          <w:szCs w:val="18"/>
        </w:rPr>
        <w:t xml:space="preserve">, </w:t>
      </w:r>
      <w:r w:rsidR="00F85145" w:rsidRPr="00804602">
        <w:rPr>
          <w:rFonts w:ascii="AGaramond" w:hAnsi="AGaramond" w:cs="Times New Roman"/>
          <w:sz w:val="22"/>
          <w:szCs w:val="18"/>
        </w:rPr>
        <w:t xml:space="preserve">the pragmatics of architecture’s existence </w:t>
      </w:r>
      <w:r w:rsidR="00C71C44" w:rsidRPr="00804602">
        <w:rPr>
          <w:rFonts w:ascii="AGaramond" w:hAnsi="AGaramond" w:cs="Times New Roman"/>
          <w:sz w:val="22"/>
          <w:szCs w:val="18"/>
        </w:rPr>
        <w:t>are</w:t>
      </w:r>
      <w:r w:rsidR="00F85145" w:rsidRPr="00804602">
        <w:rPr>
          <w:rFonts w:ascii="AGaramond" w:hAnsi="AGaramond" w:cs="Times New Roman"/>
          <w:sz w:val="22"/>
          <w:szCs w:val="18"/>
        </w:rPr>
        <w:t xml:space="preserve"> </w:t>
      </w:r>
      <w:r w:rsidR="001449BC" w:rsidRPr="00804602">
        <w:rPr>
          <w:rFonts w:ascii="AGaramond" w:hAnsi="AGaramond" w:cs="Times New Roman"/>
          <w:sz w:val="22"/>
          <w:szCs w:val="18"/>
        </w:rPr>
        <w:t xml:space="preserve">frequently </w:t>
      </w:r>
      <w:r w:rsidR="00F3050D" w:rsidRPr="00804602">
        <w:rPr>
          <w:rFonts w:ascii="AGaramond" w:hAnsi="AGaramond" w:cs="Times New Roman"/>
          <w:sz w:val="22"/>
          <w:szCs w:val="18"/>
        </w:rPr>
        <w:t>simplified</w:t>
      </w:r>
      <w:r w:rsidR="00F85145" w:rsidRPr="00804602">
        <w:rPr>
          <w:rFonts w:ascii="AGaramond" w:hAnsi="AGaramond" w:cs="Times New Roman"/>
          <w:sz w:val="22"/>
          <w:szCs w:val="18"/>
        </w:rPr>
        <w:t xml:space="preserve"> by the reification of the architectural object as the site for innovation. </w:t>
      </w:r>
      <w:r w:rsidR="008E11FC" w:rsidRPr="00804602">
        <w:rPr>
          <w:rFonts w:ascii="AGaramond" w:hAnsi="AGaramond" w:cs="Times New Roman"/>
          <w:sz w:val="22"/>
          <w:szCs w:val="18"/>
        </w:rPr>
        <w:t>Often,</w:t>
      </w:r>
      <w:r w:rsidR="00F85145" w:rsidRPr="00804602">
        <w:rPr>
          <w:rFonts w:ascii="AGaramond" w:hAnsi="AGaramond" w:cs="Times New Roman"/>
          <w:sz w:val="22"/>
          <w:szCs w:val="18"/>
        </w:rPr>
        <w:t xml:space="preserve"> the reaction to this </w:t>
      </w:r>
      <w:r w:rsidR="00F3050D" w:rsidRPr="00804602">
        <w:rPr>
          <w:rFonts w:ascii="AGaramond" w:hAnsi="AGaramond" w:cs="Times New Roman"/>
          <w:sz w:val="22"/>
          <w:szCs w:val="18"/>
        </w:rPr>
        <w:t xml:space="preserve">focus on the object </w:t>
      </w:r>
      <w:r w:rsidR="00F85145" w:rsidRPr="00804602">
        <w:rPr>
          <w:rFonts w:ascii="AGaramond" w:hAnsi="AGaramond" w:cs="Times New Roman"/>
          <w:sz w:val="22"/>
          <w:szCs w:val="18"/>
        </w:rPr>
        <w:t xml:space="preserve">is equally problematic, abandoning architecture to </w:t>
      </w:r>
      <w:r w:rsidR="002B09FD" w:rsidRPr="00804602">
        <w:rPr>
          <w:rFonts w:ascii="AGaramond" w:hAnsi="AGaramond" w:cs="Times New Roman"/>
          <w:sz w:val="22"/>
          <w:szCs w:val="18"/>
        </w:rPr>
        <w:t>soci</w:t>
      </w:r>
      <w:r w:rsidR="00F85145" w:rsidRPr="00804602">
        <w:rPr>
          <w:rFonts w:ascii="AGaramond" w:hAnsi="AGaramond" w:cs="Times New Roman"/>
          <w:sz w:val="22"/>
          <w:szCs w:val="18"/>
        </w:rPr>
        <w:t>ological or anthropological accounts</w:t>
      </w:r>
      <w:r w:rsidR="002B09FD" w:rsidRPr="00804602">
        <w:rPr>
          <w:rFonts w:ascii="AGaramond" w:hAnsi="AGaramond" w:cs="Times New Roman"/>
          <w:sz w:val="22"/>
          <w:szCs w:val="18"/>
        </w:rPr>
        <w:t xml:space="preserve">, the result of which is </w:t>
      </w:r>
      <w:r w:rsidR="00124E9E" w:rsidRPr="00804602">
        <w:rPr>
          <w:rFonts w:ascii="AGaramond" w:hAnsi="AGaramond" w:cs="Times New Roman"/>
          <w:sz w:val="22"/>
          <w:szCs w:val="18"/>
        </w:rPr>
        <w:t>the introduction of an</w:t>
      </w:r>
      <w:r w:rsidR="002B09FD" w:rsidRPr="00804602">
        <w:rPr>
          <w:rFonts w:ascii="AGaramond" w:hAnsi="AGaramond" w:cs="Times New Roman"/>
          <w:sz w:val="22"/>
          <w:szCs w:val="18"/>
        </w:rPr>
        <w:t xml:space="preserve"> apolitical distance between </w:t>
      </w:r>
      <w:r w:rsidR="0065174F" w:rsidRPr="00804602">
        <w:rPr>
          <w:rFonts w:ascii="AGaramond" w:hAnsi="AGaramond" w:cs="Times New Roman"/>
          <w:sz w:val="22"/>
          <w:szCs w:val="18"/>
        </w:rPr>
        <w:t>object</w:t>
      </w:r>
      <w:r w:rsidR="002B09FD" w:rsidRPr="00804602">
        <w:rPr>
          <w:rFonts w:ascii="AGaramond" w:hAnsi="AGaramond" w:cs="Times New Roman"/>
          <w:sz w:val="22"/>
          <w:szCs w:val="18"/>
        </w:rPr>
        <w:t xml:space="preserve"> and </w:t>
      </w:r>
      <w:r w:rsidR="0065174F" w:rsidRPr="00804602">
        <w:rPr>
          <w:rFonts w:ascii="AGaramond" w:hAnsi="AGaramond" w:cs="Times New Roman"/>
          <w:sz w:val="22"/>
          <w:szCs w:val="18"/>
        </w:rPr>
        <w:t>use</w:t>
      </w:r>
      <w:r w:rsidR="002B09FD" w:rsidRPr="00804602">
        <w:rPr>
          <w:rFonts w:ascii="AGaramond" w:hAnsi="AGaramond" w:cs="Times New Roman"/>
          <w:sz w:val="22"/>
          <w:szCs w:val="18"/>
        </w:rPr>
        <w:t>.</w:t>
      </w:r>
      <w:r w:rsidR="00F244B2" w:rsidRPr="00804602">
        <w:rPr>
          <w:rFonts w:ascii="AGaramond" w:hAnsi="AGaramond" w:cs="Times New Roman"/>
          <w:sz w:val="22"/>
          <w:szCs w:val="18"/>
        </w:rPr>
        <w:t xml:space="preserve"> </w:t>
      </w:r>
      <w:r w:rsidR="001F67F1" w:rsidRPr="00804602">
        <w:rPr>
          <w:rFonts w:ascii="AGaramond" w:hAnsi="AGaramond"/>
          <w:sz w:val="22"/>
          <w:lang w:val="en-GB"/>
        </w:rPr>
        <w:t>The</w:t>
      </w:r>
      <w:r w:rsidR="002867C1" w:rsidRPr="00804602">
        <w:rPr>
          <w:rFonts w:ascii="AGaramond" w:hAnsi="AGaramond"/>
          <w:sz w:val="22"/>
          <w:lang w:val="en-GB"/>
        </w:rPr>
        <w:t xml:space="preserve"> </w:t>
      </w:r>
      <w:r w:rsidR="00EF65E7" w:rsidRPr="00804602">
        <w:rPr>
          <w:rFonts w:ascii="AGaramond" w:hAnsi="AGaramond"/>
          <w:sz w:val="22"/>
          <w:lang w:val="en-GB"/>
        </w:rPr>
        <w:t xml:space="preserve">work of </w:t>
      </w:r>
      <w:r w:rsidR="00303944" w:rsidRPr="00804602">
        <w:rPr>
          <w:rFonts w:ascii="AGaramond" w:hAnsi="AGaramond"/>
          <w:sz w:val="22"/>
          <w:lang w:val="en-GB"/>
        </w:rPr>
        <w:t xml:space="preserve">philosophers Gilles </w:t>
      </w:r>
      <w:r w:rsidR="00EF65E7" w:rsidRPr="00804602">
        <w:rPr>
          <w:rFonts w:ascii="AGaramond" w:hAnsi="AGaramond"/>
          <w:sz w:val="22"/>
          <w:lang w:val="en-GB"/>
        </w:rPr>
        <w:t xml:space="preserve">Deleuze and </w:t>
      </w:r>
      <w:r w:rsidR="00303944" w:rsidRPr="00804602">
        <w:rPr>
          <w:rFonts w:ascii="AGaramond" w:hAnsi="AGaramond"/>
          <w:sz w:val="22"/>
          <w:lang w:val="en-GB"/>
        </w:rPr>
        <w:t xml:space="preserve">Félix </w:t>
      </w:r>
      <w:r w:rsidR="00EF65E7" w:rsidRPr="00804602">
        <w:rPr>
          <w:rFonts w:ascii="AGaramond" w:hAnsi="AGaramond"/>
          <w:sz w:val="22"/>
          <w:lang w:val="en-GB"/>
        </w:rPr>
        <w:t xml:space="preserve">Guattari offers </w:t>
      </w:r>
      <w:r w:rsidR="002867C1" w:rsidRPr="00804602">
        <w:rPr>
          <w:rFonts w:ascii="AGaramond" w:hAnsi="AGaramond"/>
          <w:sz w:val="22"/>
          <w:lang w:val="en-GB"/>
        </w:rPr>
        <w:t xml:space="preserve">an important perspective from which to engage </w:t>
      </w:r>
      <w:r w:rsidR="00C71C44" w:rsidRPr="00804602">
        <w:rPr>
          <w:rFonts w:ascii="AGaramond" w:hAnsi="AGaramond"/>
          <w:sz w:val="22"/>
          <w:lang w:val="en-GB"/>
        </w:rPr>
        <w:t xml:space="preserve">in </w:t>
      </w:r>
      <w:r w:rsidR="002867C1" w:rsidRPr="00804602">
        <w:rPr>
          <w:rFonts w:ascii="AGaramond" w:hAnsi="AGaramond"/>
          <w:sz w:val="22"/>
          <w:lang w:val="en-GB"/>
        </w:rPr>
        <w:t xml:space="preserve">this discussion. </w:t>
      </w:r>
      <w:r w:rsidR="0091541D" w:rsidRPr="00804602">
        <w:rPr>
          <w:rFonts w:ascii="AGaramond" w:hAnsi="AGaramond"/>
          <w:sz w:val="22"/>
          <w:lang w:val="en-GB"/>
        </w:rPr>
        <w:t>T</w:t>
      </w:r>
      <w:r w:rsidR="00EF65E7" w:rsidRPr="00804602">
        <w:rPr>
          <w:rFonts w:ascii="AGaramond" w:hAnsi="AGaramond"/>
          <w:sz w:val="22"/>
          <w:lang w:val="en-GB"/>
        </w:rPr>
        <w:t xml:space="preserve">heir joint work on abstract machines and, particularly, Deleuze’s interpretation of </w:t>
      </w:r>
      <w:r w:rsidR="00B10D79" w:rsidRPr="00804602">
        <w:rPr>
          <w:rStyle w:val="A1"/>
          <w:rFonts w:ascii="AGaramond" w:hAnsi="AGaramond"/>
          <w:color w:val="auto"/>
          <w:sz w:val="22"/>
        </w:rPr>
        <w:t xml:space="preserve">Foucault’s diagram as </w:t>
      </w:r>
      <w:r w:rsidR="00C71C44" w:rsidRPr="00804602">
        <w:rPr>
          <w:rStyle w:val="A1"/>
          <w:rFonts w:ascii="AGaramond" w:hAnsi="AGaramond"/>
          <w:color w:val="auto"/>
          <w:sz w:val="22"/>
        </w:rPr>
        <w:t xml:space="preserve">a </w:t>
      </w:r>
      <w:r w:rsidR="00206559" w:rsidRPr="00804602">
        <w:rPr>
          <w:rStyle w:val="A1"/>
          <w:rFonts w:ascii="AGaramond" w:hAnsi="AGaramond"/>
          <w:color w:val="auto"/>
          <w:sz w:val="22"/>
        </w:rPr>
        <w:t>cartography</w:t>
      </w:r>
      <w:r w:rsidR="00B10D79" w:rsidRPr="00804602">
        <w:rPr>
          <w:rStyle w:val="A1"/>
          <w:rFonts w:ascii="AGaramond" w:hAnsi="AGaramond"/>
          <w:color w:val="auto"/>
          <w:sz w:val="22"/>
        </w:rPr>
        <w:t xml:space="preserve"> of relations between forces</w:t>
      </w:r>
      <w:r w:rsidR="00B10D79" w:rsidRPr="00804602">
        <w:rPr>
          <w:rFonts w:ascii="AGaramond" w:hAnsi="AGaramond"/>
          <w:sz w:val="22"/>
          <w:lang w:val="en-GB"/>
        </w:rPr>
        <w:t xml:space="preserve"> </w:t>
      </w:r>
      <w:r w:rsidR="00C71C44" w:rsidRPr="00804602">
        <w:rPr>
          <w:rFonts w:ascii="AGaramond" w:hAnsi="AGaramond"/>
          <w:sz w:val="22"/>
          <w:lang w:val="en-GB"/>
        </w:rPr>
        <w:t>have</w:t>
      </w:r>
      <w:r w:rsidR="00B10D79" w:rsidRPr="00804602">
        <w:rPr>
          <w:rFonts w:ascii="AGaramond" w:hAnsi="AGaramond"/>
          <w:sz w:val="22"/>
          <w:lang w:val="en-GB"/>
        </w:rPr>
        <w:t xml:space="preserve"> often been mobilized for discussions of how power operates through architecture. However, </w:t>
      </w:r>
      <w:r w:rsidR="00083A55" w:rsidRPr="00804602">
        <w:rPr>
          <w:rFonts w:ascii="AGaramond" w:hAnsi="AGaramond"/>
          <w:sz w:val="22"/>
          <w:lang w:val="en-GB"/>
        </w:rPr>
        <w:t xml:space="preserve">it is </w:t>
      </w:r>
      <w:r w:rsidR="005D0E32" w:rsidRPr="00804602">
        <w:rPr>
          <w:rFonts w:ascii="AGaramond" w:hAnsi="AGaramond"/>
          <w:sz w:val="22"/>
          <w:lang w:val="en-GB"/>
        </w:rPr>
        <w:t xml:space="preserve">Guattari’s </w:t>
      </w:r>
      <w:r w:rsidR="00303944" w:rsidRPr="00804602">
        <w:rPr>
          <w:rFonts w:ascii="AGaramond" w:hAnsi="AGaramond"/>
          <w:sz w:val="22"/>
          <w:lang w:val="en-GB"/>
        </w:rPr>
        <w:t xml:space="preserve">solo </w:t>
      </w:r>
      <w:r w:rsidR="005D0E32" w:rsidRPr="00804602">
        <w:rPr>
          <w:rFonts w:ascii="AGaramond" w:hAnsi="AGaramond"/>
          <w:sz w:val="22"/>
          <w:lang w:val="en-GB"/>
        </w:rPr>
        <w:t xml:space="preserve">work </w:t>
      </w:r>
      <w:r w:rsidR="00083A55" w:rsidRPr="00804602">
        <w:rPr>
          <w:rFonts w:ascii="AGaramond" w:hAnsi="AGaramond"/>
          <w:sz w:val="22"/>
          <w:lang w:val="en-GB"/>
        </w:rPr>
        <w:t xml:space="preserve">that we think </w:t>
      </w:r>
      <w:r w:rsidR="001E170A" w:rsidRPr="00804602">
        <w:rPr>
          <w:rFonts w:ascii="AGaramond" w:hAnsi="AGaramond"/>
          <w:sz w:val="22"/>
          <w:lang w:val="en-GB"/>
        </w:rPr>
        <w:t xml:space="preserve">provides the </w:t>
      </w:r>
      <w:r w:rsidR="00CE31A6" w:rsidRPr="00804602">
        <w:rPr>
          <w:rFonts w:ascii="AGaramond" w:hAnsi="AGaramond"/>
          <w:sz w:val="22"/>
          <w:lang w:val="en-GB"/>
        </w:rPr>
        <w:t xml:space="preserve">most </w:t>
      </w:r>
      <w:r w:rsidR="0009762D" w:rsidRPr="00804602">
        <w:rPr>
          <w:rFonts w:ascii="AGaramond" w:hAnsi="AGaramond"/>
          <w:sz w:val="22"/>
          <w:lang w:val="en-GB"/>
        </w:rPr>
        <w:t xml:space="preserve">effective </w:t>
      </w:r>
      <w:r w:rsidR="001E170A" w:rsidRPr="00804602">
        <w:rPr>
          <w:rFonts w:ascii="AGaramond" w:hAnsi="AGaramond"/>
          <w:sz w:val="22"/>
          <w:lang w:val="en-GB"/>
        </w:rPr>
        <w:t xml:space="preserve">basis </w:t>
      </w:r>
      <w:r w:rsidR="00CE31A6" w:rsidRPr="00804602">
        <w:rPr>
          <w:rFonts w:ascii="AGaramond" w:hAnsi="AGaramond"/>
          <w:sz w:val="22"/>
          <w:lang w:val="en-GB"/>
        </w:rPr>
        <w:t xml:space="preserve">from which </w:t>
      </w:r>
      <w:r w:rsidR="001E170A" w:rsidRPr="00804602">
        <w:rPr>
          <w:rFonts w:ascii="AGaramond" w:hAnsi="AGaramond"/>
          <w:sz w:val="22"/>
          <w:lang w:val="en-GB"/>
        </w:rPr>
        <w:t xml:space="preserve">to </w:t>
      </w:r>
      <w:r w:rsidR="00427863" w:rsidRPr="00804602">
        <w:rPr>
          <w:rFonts w:ascii="AGaramond" w:hAnsi="AGaramond"/>
          <w:sz w:val="22"/>
          <w:lang w:val="en-GB"/>
        </w:rPr>
        <w:t>understand</w:t>
      </w:r>
      <w:r w:rsidR="001E170A" w:rsidRPr="00804602">
        <w:rPr>
          <w:rFonts w:ascii="AGaramond" w:hAnsi="AGaramond"/>
          <w:sz w:val="22"/>
          <w:lang w:val="en-GB"/>
        </w:rPr>
        <w:t xml:space="preserve"> </w:t>
      </w:r>
      <w:r w:rsidR="00F3050D" w:rsidRPr="00804602">
        <w:rPr>
          <w:rFonts w:ascii="AGaramond" w:hAnsi="AGaramond"/>
          <w:sz w:val="22"/>
          <w:lang w:val="en-GB"/>
        </w:rPr>
        <w:t xml:space="preserve">the pragmatics of </w:t>
      </w:r>
      <w:r w:rsidR="00427863" w:rsidRPr="00804602">
        <w:rPr>
          <w:rFonts w:ascii="AGaramond" w:hAnsi="AGaramond"/>
          <w:sz w:val="22"/>
          <w:lang w:val="en-GB"/>
        </w:rPr>
        <w:t>the architectural project</w:t>
      </w:r>
      <w:r w:rsidR="00F3050D" w:rsidRPr="00804602">
        <w:rPr>
          <w:rFonts w:ascii="AGaramond" w:hAnsi="AGaramond"/>
          <w:sz w:val="22"/>
          <w:lang w:val="en-GB"/>
        </w:rPr>
        <w:t xml:space="preserve">, including </w:t>
      </w:r>
      <w:r w:rsidR="001E170A" w:rsidRPr="00804602">
        <w:rPr>
          <w:rFonts w:ascii="AGaramond" w:hAnsi="AGaramond"/>
          <w:sz w:val="22"/>
          <w:lang w:val="en-GB"/>
        </w:rPr>
        <w:t>the multiple assemblage</w:t>
      </w:r>
      <w:r w:rsidR="00CE31A6" w:rsidRPr="00804602">
        <w:rPr>
          <w:rFonts w:ascii="AGaramond" w:hAnsi="AGaramond"/>
          <w:sz w:val="22"/>
          <w:lang w:val="en-GB"/>
        </w:rPr>
        <w:t>s that architecture enters into and how it does so.</w:t>
      </w:r>
      <w:r w:rsidR="00804602" w:rsidRPr="00804602">
        <w:rPr>
          <w:rStyle w:val="FootnoteReference"/>
          <w:rFonts w:ascii="AGaramond" w:hAnsi="AGaramond"/>
          <w:sz w:val="22"/>
          <w:lang w:val="en-GB"/>
        </w:rPr>
        <w:footnoteReference w:id="1"/>
      </w:r>
      <w:r w:rsidR="00804602" w:rsidRPr="00804602">
        <w:rPr>
          <w:rFonts w:ascii="AGaramond" w:hAnsi="AGaramond" w:cs="Times New Roman"/>
          <w:sz w:val="22"/>
          <w:szCs w:val="18"/>
          <w:u w:val="single"/>
        </w:rPr>
        <w:t xml:space="preserve"> </w:t>
      </w:r>
    </w:p>
    <w:p w14:paraId="358DEB70" w14:textId="77777777" w:rsidR="00804602" w:rsidRPr="00804602" w:rsidRDefault="00804602" w:rsidP="00246A09">
      <w:pPr>
        <w:widowControl w:val="0"/>
        <w:autoSpaceDE w:val="0"/>
        <w:autoSpaceDN w:val="0"/>
        <w:adjustRightInd w:val="0"/>
        <w:spacing w:after="0"/>
        <w:rPr>
          <w:rFonts w:ascii="AGaramond" w:hAnsi="AGaramond"/>
          <w:sz w:val="22"/>
          <w:lang w:val="en-GB"/>
        </w:rPr>
      </w:pPr>
    </w:p>
    <w:p w14:paraId="208DF816" w14:textId="77777777" w:rsidR="00804602" w:rsidRPr="00804602" w:rsidRDefault="00804602" w:rsidP="00246A09">
      <w:pPr>
        <w:widowControl w:val="0"/>
        <w:autoSpaceDE w:val="0"/>
        <w:autoSpaceDN w:val="0"/>
        <w:adjustRightInd w:val="0"/>
        <w:spacing w:after="0"/>
        <w:rPr>
          <w:rFonts w:ascii="AGaramond" w:hAnsi="AGaramond"/>
          <w:b/>
          <w:sz w:val="22"/>
          <w:lang w:val="en-GB"/>
        </w:rPr>
      </w:pPr>
    </w:p>
    <w:p w14:paraId="01733A04" w14:textId="77777777" w:rsidR="00804602" w:rsidRPr="00804602" w:rsidRDefault="00804602" w:rsidP="00246A09">
      <w:pPr>
        <w:widowControl w:val="0"/>
        <w:autoSpaceDE w:val="0"/>
        <w:autoSpaceDN w:val="0"/>
        <w:adjustRightInd w:val="0"/>
        <w:spacing w:after="0"/>
        <w:rPr>
          <w:rFonts w:ascii="AGaramond" w:hAnsi="AGaramond"/>
          <w:b/>
          <w:sz w:val="22"/>
          <w:lang w:val="en-GB"/>
        </w:rPr>
      </w:pPr>
      <w:r w:rsidRPr="00804602">
        <w:rPr>
          <w:rFonts w:ascii="AGaramond" w:hAnsi="AGaramond"/>
          <w:b/>
          <w:sz w:val="22"/>
          <w:lang w:val="en-GB"/>
        </w:rPr>
        <w:t>2</w:t>
      </w:r>
    </w:p>
    <w:p w14:paraId="3C854CA6" w14:textId="77777777" w:rsidR="00804602" w:rsidRPr="00804602" w:rsidRDefault="00804602" w:rsidP="004D0D4F">
      <w:pPr>
        <w:widowControl w:val="0"/>
        <w:autoSpaceDE w:val="0"/>
        <w:autoSpaceDN w:val="0"/>
        <w:adjustRightInd w:val="0"/>
        <w:spacing w:after="0"/>
        <w:rPr>
          <w:rFonts w:ascii="AGaramond" w:hAnsi="AGaramond"/>
          <w:sz w:val="22"/>
        </w:rPr>
      </w:pPr>
      <w:r w:rsidRPr="00804602">
        <w:rPr>
          <w:rFonts w:ascii="AGaramond" w:hAnsi="AGaramond"/>
          <w:sz w:val="22"/>
          <w:lang w:val="en-GB"/>
        </w:rPr>
        <w:t xml:space="preserve">In an essay first published in </w:t>
      </w:r>
      <w:r w:rsidRPr="00804602">
        <w:rPr>
          <w:rFonts w:ascii="AGaramond" w:hAnsi="AGaramond"/>
          <w:i/>
          <w:sz w:val="22"/>
          <w:lang w:val="en-GB"/>
        </w:rPr>
        <w:t>Schizoanalytic Cartographies,</w:t>
      </w:r>
      <w:r w:rsidRPr="00804602">
        <w:rPr>
          <w:rFonts w:ascii="AGaramond" w:hAnsi="AGaramond"/>
          <w:sz w:val="22"/>
          <w:lang w:val="en-GB"/>
        </w:rPr>
        <w:t xml:space="preserve"> Guattari elaborates on what he calls ‘architectural enunciation’.</w:t>
      </w:r>
      <w:r w:rsidRPr="00804602">
        <w:rPr>
          <w:rStyle w:val="FootnoteReference"/>
          <w:rFonts w:ascii="AGaramond" w:hAnsi="AGaramond"/>
          <w:sz w:val="22"/>
          <w:lang w:val="en-GB"/>
        </w:rPr>
        <w:footnoteReference w:id="2"/>
      </w:r>
      <w:r w:rsidRPr="00804602">
        <w:rPr>
          <w:rFonts w:ascii="AGaramond" w:hAnsi="AGaramond"/>
          <w:sz w:val="22"/>
          <w:lang w:val="en-GB"/>
        </w:rPr>
        <w:t xml:space="preserve"> The concept of enunciation is generally attributed to linguist Émile Benveniste. Benveniste proposed shifting the question of language from a study of the internal relation between signs (as pioneered by Saussure) to the act and circumstances of producing a statement. This act and circumstances of production were defined as </w:t>
      </w:r>
      <w:r w:rsidRPr="00804602">
        <w:rPr>
          <w:rFonts w:ascii="AGaramond" w:hAnsi="AGaramond"/>
          <w:i/>
          <w:sz w:val="22"/>
          <w:lang w:val="en-GB"/>
        </w:rPr>
        <w:t>enunciation</w:t>
      </w:r>
      <w:r w:rsidRPr="00804602">
        <w:rPr>
          <w:rFonts w:ascii="AGaramond" w:hAnsi="AGaramond"/>
          <w:sz w:val="22"/>
          <w:lang w:val="en-GB"/>
        </w:rPr>
        <w:t xml:space="preserve">. In his view, language was dependent on enunciation to be realized. Guattari’s use of the term echoes Benveniste’s focus on the pragmatics of the statement. However, Guattari’s notion can be applied beyond the linguistic domain. Enunciations can be spatial, musical, technical, political, etc. Moreover, for Guattari enunciation is not the product of an individual as it was for Benveniste – the speaking subject – but of a collective, a multiplicity rather than a self, a </w:t>
      </w:r>
      <w:r w:rsidRPr="00804602">
        <w:rPr>
          <w:rFonts w:ascii="AGaramond" w:hAnsi="AGaramond"/>
          <w:sz w:val="22"/>
        </w:rPr>
        <w:t>collective pragmatics of sign production that goes beyond linguistic structures alone.</w:t>
      </w:r>
      <w:r w:rsidRPr="00804602">
        <w:rPr>
          <w:rStyle w:val="FootnoteReference"/>
          <w:rFonts w:ascii="AGaramond" w:hAnsi="AGaramond"/>
          <w:sz w:val="22"/>
        </w:rPr>
        <w:footnoteReference w:id="3"/>
      </w:r>
      <w:r w:rsidRPr="00804602">
        <w:rPr>
          <w:rFonts w:ascii="AGaramond" w:hAnsi="AGaramond"/>
          <w:sz w:val="22"/>
        </w:rPr>
        <w:t xml:space="preserve"> </w:t>
      </w:r>
      <w:r w:rsidRPr="00804602">
        <w:rPr>
          <w:rFonts w:ascii="AGaramond" w:hAnsi="AGaramond"/>
          <w:sz w:val="22"/>
          <w:lang w:val="en-GB"/>
        </w:rPr>
        <w:t xml:space="preserve">Hence, </w:t>
      </w:r>
      <w:r w:rsidRPr="00804602">
        <w:rPr>
          <w:rFonts w:ascii="AGaramond" w:hAnsi="AGaramond"/>
          <w:sz w:val="22"/>
        </w:rPr>
        <w:t>enunciation is never really a matter of the linguistic statement only, but of an intervention in a particular context. It is, in essence, an existential matter. Likewise, it is also something that cannot be repeated.</w:t>
      </w:r>
      <w:r w:rsidRPr="00804602">
        <w:rPr>
          <w:rStyle w:val="FootnoteReference"/>
          <w:rFonts w:ascii="AGaramond" w:hAnsi="AGaramond"/>
          <w:sz w:val="22"/>
        </w:rPr>
        <w:t xml:space="preserve"> </w:t>
      </w:r>
      <w:r w:rsidRPr="00804602">
        <w:rPr>
          <w:rStyle w:val="FootnoteReference"/>
          <w:rFonts w:ascii="AGaramond" w:hAnsi="AGaramond"/>
          <w:sz w:val="22"/>
        </w:rPr>
        <w:footnoteReference w:id="4"/>
      </w:r>
    </w:p>
    <w:p w14:paraId="60DA41B0" w14:textId="77777777" w:rsidR="00804602" w:rsidRPr="00804602" w:rsidRDefault="00804602" w:rsidP="00763AD2">
      <w:pPr>
        <w:widowControl w:val="0"/>
        <w:autoSpaceDE w:val="0"/>
        <w:autoSpaceDN w:val="0"/>
        <w:adjustRightInd w:val="0"/>
        <w:spacing w:after="0"/>
        <w:rPr>
          <w:rFonts w:ascii="AGaramond" w:hAnsi="AGaramond"/>
          <w:sz w:val="22"/>
          <w:lang w:val="en-GB"/>
        </w:rPr>
      </w:pPr>
    </w:p>
    <w:p w14:paraId="3016E9E2" w14:textId="77777777" w:rsidR="00804602" w:rsidRPr="00804602" w:rsidRDefault="00804602" w:rsidP="00763AD2">
      <w:pPr>
        <w:widowControl w:val="0"/>
        <w:autoSpaceDE w:val="0"/>
        <w:autoSpaceDN w:val="0"/>
        <w:adjustRightInd w:val="0"/>
        <w:spacing w:after="0"/>
        <w:rPr>
          <w:rFonts w:ascii="AGaramond" w:hAnsi="AGaramond"/>
          <w:sz w:val="22"/>
          <w:lang w:val="en-GB"/>
        </w:rPr>
      </w:pPr>
      <w:r w:rsidRPr="00804602">
        <w:rPr>
          <w:rFonts w:ascii="AGaramond" w:hAnsi="AGaramond"/>
          <w:sz w:val="22"/>
          <w:lang w:val="en-GB"/>
        </w:rPr>
        <w:t xml:space="preserve">In this conceptualization of </w:t>
      </w:r>
      <w:r w:rsidRPr="00804602">
        <w:rPr>
          <w:rFonts w:ascii="AGaramond" w:hAnsi="AGaramond"/>
          <w:i/>
          <w:sz w:val="22"/>
          <w:lang w:val="en-GB"/>
        </w:rPr>
        <w:t>enunciation</w:t>
      </w:r>
      <w:r w:rsidRPr="00804602">
        <w:rPr>
          <w:rFonts w:ascii="AGaramond" w:hAnsi="AGaramond"/>
          <w:sz w:val="22"/>
          <w:lang w:val="en-GB"/>
        </w:rPr>
        <w:t xml:space="preserve"> we</w:t>
      </w:r>
      <w:r w:rsidRPr="00804602">
        <w:rPr>
          <w:rFonts w:ascii="AGaramond" w:hAnsi="AGaramond"/>
          <w:sz w:val="22"/>
        </w:rPr>
        <w:t xml:space="preserve"> find an opportunity to precise the concept of </w:t>
      </w:r>
      <w:r w:rsidRPr="00804602">
        <w:rPr>
          <w:rFonts w:ascii="AGaramond" w:hAnsi="AGaramond"/>
          <w:i/>
          <w:sz w:val="22"/>
        </w:rPr>
        <w:t>project</w:t>
      </w:r>
      <w:r w:rsidRPr="00804602">
        <w:rPr>
          <w:rFonts w:ascii="AGaramond" w:hAnsi="AGaramond"/>
          <w:sz w:val="22"/>
        </w:rPr>
        <w:t xml:space="preserve"> in architecture, conceptualized as an intervention with </w:t>
      </w:r>
      <w:r w:rsidRPr="00804602">
        <w:rPr>
          <w:rFonts w:ascii="AGaramond" w:hAnsi="AGaramond"/>
          <w:sz w:val="22"/>
        </w:rPr>
        <w:lastRenderedPageBreak/>
        <w:t>a transformative character</w:t>
      </w:r>
      <w:r w:rsidRPr="00804602">
        <w:rPr>
          <w:rFonts w:ascii="AGaramond" w:hAnsi="AGaramond"/>
          <w:sz w:val="22"/>
          <w:lang w:val="en-GB"/>
        </w:rPr>
        <w:t>.</w:t>
      </w:r>
      <w:r w:rsidRPr="00804602">
        <w:rPr>
          <w:rStyle w:val="FootnoteReference"/>
          <w:rFonts w:ascii="AGaramond" w:hAnsi="AGaramond"/>
          <w:sz w:val="22"/>
          <w:lang w:val="en-GB"/>
        </w:rPr>
        <w:footnoteReference w:id="5"/>
      </w:r>
      <w:r w:rsidRPr="00804602">
        <w:rPr>
          <w:rFonts w:ascii="AGaramond" w:hAnsi="AGaramond"/>
          <w:sz w:val="22"/>
          <w:lang w:val="en-GB"/>
        </w:rPr>
        <w:t xml:space="preserve"> However, this requires some additional unpacking as Guattari differentiates two different modalities through which enunciation works: the ‘polyphonic’ and the ‘ethico-aesthetic’. The polyphonic modality refers to expressive materials and the ethico-aesthetic to affective materials. This distinction is crucial both in reference to Guattari’s broader philosophical and semiotic project and also for our current purpose. Let us start by focusing on the polyphonic modality. </w:t>
      </w:r>
      <w:r w:rsidRPr="00804602">
        <w:rPr>
          <w:rFonts w:ascii="AGaramond" w:hAnsi="AGaramond"/>
          <w:sz w:val="22"/>
          <w:szCs w:val="20"/>
        </w:rPr>
        <w:t>Guattari defines</w:t>
      </w:r>
      <w:r w:rsidRPr="00804602">
        <w:rPr>
          <w:rFonts w:ascii="AGaramond" w:hAnsi="AGaramond"/>
          <w:sz w:val="22"/>
        </w:rPr>
        <w:t xml:space="preserve"> eight types of the key </w:t>
      </w:r>
      <w:r w:rsidRPr="00804602">
        <w:rPr>
          <w:rFonts w:ascii="AGaramond" w:hAnsi="AGaramond"/>
          <w:sz w:val="22"/>
          <w:lang w:val="en-GB"/>
        </w:rPr>
        <w:t>assemblages of enunciation of which architecture is part, each providing different expressive materials</w:t>
      </w:r>
      <w:r w:rsidRPr="00804602">
        <w:rPr>
          <w:rFonts w:ascii="AGaramond" w:hAnsi="AGaramond"/>
          <w:sz w:val="22"/>
        </w:rPr>
        <w:t>: these are</w:t>
      </w:r>
      <w:r w:rsidRPr="00804602">
        <w:rPr>
          <w:rFonts w:ascii="AGaramond" w:hAnsi="AGaramond"/>
          <w:sz w:val="22"/>
          <w:szCs w:val="20"/>
        </w:rPr>
        <w:t xml:space="preserve"> </w:t>
      </w:r>
      <w:r w:rsidRPr="00804602">
        <w:rPr>
          <w:rFonts w:ascii="AGaramond" w:hAnsi="AGaramond"/>
          <w:i/>
          <w:sz w:val="22"/>
          <w:szCs w:val="20"/>
        </w:rPr>
        <w:t>Geopolitical</w:t>
      </w:r>
      <w:r w:rsidRPr="00804602">
        <w:rPr>
          <w:rFonts w:ascii="AGaramond" w:hAnsi="AGaramond"/>
          <w:sz w:val="22"/>
          <w:szCs w:val="20"/>
        </w:rPr>
        <w:t xml:space="preserve">, </w:t>
      </w:r>
      <w:r w:rsidRPr="00804602">
        <w:rPr>
          <w:rFonts w:ascii="AGaramond" w:hAnsi="AGaramond"/>
          <w:i/>
          <w:sz w:val="22"/>
          <w:szCs w:val="20"/>
        </w:rPr>
        <w:t>Urbanistic</w:t>
      </w:r>
      <w:r w:rsidRPr="00804602">
        <w:rPr>
          <w:rFonts w:ascii="AGaramond" w:hAnsi="AGaramond"/>
          <w:sz w:val="22"/>
          <w:szCs w:val="20"/>
        </w:rPr>
        <w:t xml:space="preserve">, </w:t>
      </w:r>
      <w:r w:rsidRPr="00804602">
        <w:rPr>
          <w:rFonts w:ascii="AGaramond" w:hAnsi="AGaramond"/>
          <w:i/>
          <w:sz w:val="22"/>
          <w:szCs w:val="20"/>
        </w:rPr>
        <w:t>Economic</w:t>
      </w:r>
      <w:r w:rsidRPr="00804602">
        <w:rPr>
          <w:rFonts w:ascii="AGaramond" w:hAnsi="AGaramond"/>
          <w:sz w:val="22"/>
          <w:szCs w:val="20"/>
        </w:rPr>
        <w:t xml:space="preserve">, </w:t>
      </w:r>
      <w:r w:rsidRPr="00804602">
        <w:rPr>
          <w:rFonts w:ascii="AGaramond" w:hAnsi="AGaramond"/>
          <w:i/>
          <w:sz w:val="22"/>
          <w:szCs w:val="20"/>
        </w:rPr>
        <w:t>Functional</w:t>
      </w:r>
      <w:r w:rsidRPr="00804602">
        <w:rPr>
          <w:rFonts w:ascii="AGaramond" w:hAnsi="AGaramond"/>
          <w:sz w:val="22"/>
          <w:szCs w:val="20"/>
        </w:rPr>
        <w:t xml:space="preserve">, </w:t>
      </w:r>
      <w:r w:rsidRPr="00804602">
        <w:rPr>
          <w:rFonts w:ascii="AGaramond" w:hAnsi="AGaramond"/>
          <w:i/>
          <w:sz w:val="22"/>
          <w:szCs w:val="20"/>
        </w:rPr>
        <w:t>Technical</w:t>
      </w:r>
      <w:r w:rsidRPr="00804602">
        <w:rPr>
          <w:rFonts w:ascii="AGaramond" w:hAnsi="AGaramond"/>
          <w:sz w:val="22"/>
          <w:szCs w:val="20"/>
        </w:rPr>
        <w:t xml:space="preserve">, </w:t>
      </w:r>
      <w:r w:rsidRPr="00804602">
        <w:rPr>
          <w:rFonts w:ascii="AGaramond" w:hAnsi="AGaramond"/>
          <w:i/>
          <w:sz w:val="22"/>
          <w:szCs w:val="20"/>
        </w:rPr>
        <w:t>Signifying</w:t>
      </w:r>
      <w:r w:rsidRPr="00804602">
        <w:rPr>
          <w:rFonts w:ascii="AGaramond" w:hAnsi="AGaramond"/>
          <w:sz w:val="22"/>
          <w:szCs w:val="20"/>
        </w:rPr>
        <w:t xml:space="preserve">, of </w:t>
      </w:r>
      <w:r w:rsidRPr="00804602">
        <w:rPr>
          <w:rFonts w:ascii="AGaramond" w:hAnsi="AGaramond"/>
          <w:i/>
          <w:sz w:val="22"/>
          <w:szCs w:val="20"/>
        </w:rPr>
        <w:t>Existential Territorialization</w:t>
      </w:r>
      <w:r w:rsidRPr="00804602">
        <w:rPr>
          <w:rFonts w:ascii="AGaramond" w:hAnsi="AGaramond"/>
          <w:sz w:val="22"/>
          <w:szCs w:val="20"/>
        </w:rPr>
        <w:t xml:space="preserve"> and </w:t>
      </w:r>
      <w:r w:rsidRPr="00804602">
        <w:rPr>
          <w:rFonts w:ascii="AGaramond" w:hAnsi="AGaramond"/>
          <w:i/>
          <w:sz w:val="22"/>
          <w:szCs w:val="20"/>
        </w:rPr>
        <w:t>Scriptural</w:t>
      </w:r>
      <w:r w:rsidRPr="00804602">
        <w:rPr>
          <w:rFonts w:ascii="AGaramond" w:hAnsi="AGaramond"/>
          <w:sz w:val="22"/>
          <w:szCs w:val="20"/>
        </w:rPr>
        <w:t>.</w:t>
      </w:r>
      <w:r w:rsidRPr="00804602">
        <w:rPr>
          <w:rStyle w:val="FootnoteReference"/>
          <w:rFonts w:ascii="AGaramond" w:hAnsi="AGaramond"/>
          <w:sz w:val="22"/>
          <w:szCs w:val="20"/>
        </w:rPr>
        <w:footnoteReference w:id="6"/>
      </w:r>
      <w:r w:rsidRPr="00804602">
        <w:rPr>
          <w:rFonts w:ascii="AGaramond" w:hAnsi="AGaramond"/>
          <w:sz w:val="22"/>
          <w:szCs w:val="20"/>
        </w:rPr>
        <w:t xml:space="preserve"> </w:t>
      </w:r>
      <w:r w:rsidRPr="00804602">
        <w:rPr>
          <w:rFonts w:ascii="AGaramond" w:hAnsi="AGaramond"/>
          <w:sz w:val="22"/>
        </w:rPr>
        <w:t xml:space="preserve">To exemplify, a land-use regulation corresponds to an </w:t>
      </w:r>
      <w:r w:rsidRPr="00804602">
        <w:rPr>
          <w:rFonts w:ascii="AGaramond" w:hAnsi="AGaramond"/>
          <w:i/>
          <w:sz w:val="22"/>
        </w:rPr>
        <w:t>urbanistic</w:t>
      </w:r>
      <w:r w:rsidRPr="00804602">
        <w:rPr>
          <w:rFonts w:ascii="AGaramond" w:hAnsi="AGaramond"/>
          <w:sz w:val="22"/>
        </w:rPr>
        <w:t xml:space="preserve"> assemblage of enunciation; </w:t>
      </w:r>
      <w:r w:rsidRPr="00804602">
        <w:rPr>
          <w:rFonts w:ascii="AGaramond" w:hAnsi="AGaramond"/>
          <w:sz w:val="22"/>
          <w:szCs w:val="20"/>
        </w:rPr>
        <w:t>the determining of the thickness of a wall according to materials and their behaviors such as insulation coefficients or load</w:t>
      </w:r>
      <w:r w:rsidRPr="00804602">
        <w:rPr>
          <w:rFonts w:ascii="AGaramond" w:hAnsi="AGaramond"/>
          <w:sz w:val="22"/>
        </w:rPr>
        <w:t xml:space="preserve"> is part of a </w:t>
      </w:r>
      <w:r w:rsidRPr="00804602">
        <w:rPr>
          <w:rFonts w:ascii="AGaramond" w:hAnsi="AGaramond"/>
          <w:i/>
          <w:sz w:val="22"/>
          <w:szCs w:val="20"/>
        </w:rPr>
        <w:t>technical</w:t>
      </w:r>
      <w:r w:rsidRPr="00804602">
        <w:rPr>
          <w:rFonts w:ascii="AGaramond" w:hAnsi="AGaramond"/>
          <w:sz w:val="22"/>
          <w:szCs w:val="20"/>
        </w:rPr>
        <w:t xml:space="preserve"> assemblage of enunciation; and a </w:t>
      </w:r>
      <w:r w:rsidRPr="00804602">
        <w:rPr>
          <w:rFonts w:ascii="AGaramond" w:hAnsi="AGaramond"/>
          <w:i/>
          <w:sz w:val="22"/>
          <w:szCs w:val="20"/>
        </w:rPr>
        <w:t>signifying</w:t>
      </w:r>
      <w:r w:rsidRPr="00804602">
        <w:rPr>
          <w:rFonts w:ascii="AGaramond" w:hAnsi="AGaramond"/>
          <w:sz w:val="22"/>
          <w:szCs w:val="20"/>
        </w:rPr>
        <w:t xml:space="preserve"> assemblage of enunciation can refer to the allocation of content to a built form such as the cruciform plan of a Catholic church.</w:t>
      </w:r>
      <w:r w:rsidRPr="00804602">
        <w:rPr>
          <w:rStyle w:val="FootnoteReference"/>
          <w:rFonts w:ascii="AGaramond" w:hAnsi="AGaramond"/>
          <w:sz w:val="22"/>
          <w:lang w:val="en-GB"/>
        </w:rPr>
        <w:footnoteReference w:id="7"/>
      </w:r>
      <w:r w:rsidRPr="00804602">
        <w:rPr>
          <w:rFonts w:ascii="AGaramond" w:hAnsi="AGaramond"/>
          <w:sz w:val="22"/>
        </w:rPr>
        <w:t xml:space="preserve"> </w:t>
      </w:r>
      <w:r w:rsidRPr="00804602">
        <w:rPr>
          <w:rFonts w:ascii="AGaramond" w:hAnsi="AGaramond"/>
          <w:sz w:val="22"/>
          <w:szCs w:val="20"/>
        </w:rPr>
        <w:t xml:space="preserve">As we mentioned before all of the above correspond to Guattari’s understanding of enunciation as polyphonic: it consists of expressive materials with a concrete material and spatial existence, and is termed polyphonic in the sense of the multiple ‘voices’ at play. </w:t>
      </w:r>
      <w:r w:rsidRPr="00804602">
        <w:rPr>
          <w:rFonts w:ascii="AGaramond" w:hAnsi="AGaramond"/>
          <w:sz w:val="22"/>
        </w:rPr>
        <w:t>Of primary importance is the fact that the different expressive materials are coexisting, interacting yet autonomous and showing distinct standpoints.</w:t>
      </w:r>
      <w:r w:rsidRPr="00804602">
        <w:rPr>
          <w:rStyle w:val="FootnoteReference"/>
          <w:rFonts w:ascii="AGaramond" w:hAnsi="AGaramond"/>
          <w:sz w:val="22"/>
          <w:szCs w:val="20"/>
        </w:rPr>
        <w:footnoteReference w:id="8"/>
      </w:r>
      <w:r w:rsidRPr="00804602">
        <w:rPr>
          <w:rFonts w:ascii="AGaramond" w:hAnsi="AGaramond"/>
          <w:sz w:val="22"/>
          <w:szCs w:val="20"/>
        </w:rPr>
        <w:t xml:space="preserve"> </w:t>
      </w:r>
    </w:p>
    <w:p w14:paraId="7A1760FC" w14:textId="77777777" w:rsidR="00804602" w:rsidRPr="00804602" w:rsidRDefault="00804602" w:rsidP="00763AD2">
      <w:pPr>
        <w:widowControl w:val="0"/>
        <w:autoSpaceDE w:val="0"/>
        <w:autoSpaceDN w:val="0"/>
        <w:adjustRightInd w:val="0"/>
        <w:spacing w:after="0"/>
        <w:rPr>
          <w:rFonts w:ascii="AGaramond" w:hAnsi="AGaramond"/>
          <w:sz w:val="22"/>
          <w:lang w:val="en-GB"/>
        </w:rPr>
      </w:pPr>
      <w:r w:rsidRPr="00804602">
        <w:rPr>
          <w:rFonts w:ascii="AGaramond" w:hAnsi="AGaramond"/>
          <w:sz w:val="22"/>
          <w:szCs w:val="20"/>
        </w:rPr>
        <w:t xml:space="preserve">Let us now turn to the other dimension of Guattari’s schema, the ethico-aesthetic, which </w:t>
      </w:r>
      <w:r w:rsidRPr="00804602">
        <w:rPr>
          <w:rFonts w:ascii="AGaramond" w:hAnsi="AGaramond"/>
          <w:sz w:val="22"/>
          <w:lang w:val="en-GB"/>
        </w:rPr>
        <w:t xml:space="preserve">corresponds to the affective modality of enunciation. </w:t>
      </w:r>
      <w:r w:rsidRPr="00804602">
        <w:rPr>
          <w:rFonts w:ascii="AGaramond" w:hAnsi="AGaramond" w:cs="Times New Roman"/>
          <w:sz w:val="22"/>
          <w:szCs w:val="20"/>
        </w:rPr>
        <w:t xml:space="preserve">Guattari argues that in addition to expressive materials that result from the different assemblages of which architecture is part, architectural enunciation also involves materials that are not expressive but affective. </w:t>
      </w:r>
      <w:r w:rsidRPr="00804602">
        <w:rPr>
          <w:rFonts w:ascii="AGaramond" w:hAnsi="AGaramond"/>
          <w:sz w:val="22"/>
          <w:szCs w:val="20"/>
        </w:rPr>
        <w:t xml:space="preserve">Crucial here are the processes that the architectural object elicits, not as a ‘gestalt’ or ideal form closed upon itself but as what Guattari describes as a ‘catalytic operator’. Guattari referred to these as </w:t>
      </w:r>
      <w:r w:rsidRPr="00804602">
        <w:rPr>
          <w:rFonts w:ascii="AGaramond" w:hAnsi="AGaramond" w:cs="Times New Roman"/>
          <w:sz w:val="22"/>
          <w:szCs w:val="20"/>
        </w:rPr>
        <w:t>‘spatialized affects’, examples of which would be</w:t>
      </w:r>
      <w:r w:rsidRPr="00804602">
        <w:rPr>
          <w:rFonts w:ascii="AGaramond" w:hAnsi="AGaramond"/>
          <w:sz w:val="22"/>
          <w:szCs w:val="20"/>
        </w:rPr>
        <w:t xml:space="preserve"> the intimate memories, passions or fears that are brought forward by composing a space that resembles one from our childhood, or the sensation of repetition produced by a certain rhythm in the setting out of a building’s elevation – sensations that act upon us regardless of us perceiving them or not.</w:t>
      </w:r>
    </w:p>
    <w:p w14:paraId="6DF0943D" w14:textId="77777777" w:rsidR="00804602" w:rsidRPr="00804602" w:rsidRDefault="00804602" w:rsidP="00763AD2">
      <w:pPr>
        <w:spacing w:after="0"/>
        <w:rPr>
          <w:rFonts w:ascii="AGaramond" w:hAnsi="AGaramond"/>
          <w:sz w:val="22"/>
          <w:lang w:val="en-GB"/>
        </w:rPr>
      </w:pPr>
    </w:p>
    <w:p w14:paraId="4173C931" w14:textId="77777777" w:rsidR="00804602" w:rsidRPr="00804602" w:rsidRDefault="00804602" w:rsidP="00763AD2">
      <w:pPr>
        <w:spacing w:after="0"/>
        <w:rPr>
          <w:rFonts w:ascii="AGaramond" w:hAnsi="AGaramond"/>
          <w:sz w:val="22"/>
          <w:lang w:val="en-GB"/>
        </w:rPr>
      </w:pPr>
      <w:r w:rsidRPr="00804602">
        <w:rPr>
          <w:rFonts w:ascii="AGaramond" w:hAnsi="AGaramond"/>
          <w:sz w:val="22"/>
          <w:lang w:val="en-GB"/>
        </w:rPr>
        <w:t xml:space="preserve">With this brief introduction to the polyphonic and ethico-aesthetic modalities of enunciation we have sketched out how Guattari’s semiotic framework is able to foreground the multiplicity of processes at work in the project. Conceived in these terms the project emerges as an intervention that operates through the composition of expressive and affective materials  – an intervention that is collective and unrepeatable. </w:t>
      </w:r>
    </w:p>
    <w:p w14:paraId="11FA3F56" w14:textId="77777777" w:rsidR="00804602" w:rsidRPr="00804602" w:rsidRDefault="00804602" w:rsidP="00246A09">
      <w:pPr>
        <w:spacing w:after="0"/>
        <w:rPr>
          <w:rFonts w:ascii="AGaramond" w:hAnsi="AGaramond"/>
          <w:sz w:val="22"/>
          <w:lang w:val="en-GB"/>
        </w:rPr>
      </w:pPr>
    </w:p>
    <w:p w14:paraId="485C743F" w14:textId="77777777" w:rsidR="00804602" w:rsidRPr="00804602" w:rsidRDefault="00804602" w:rsidP="00246A09">
      <w:pPr>
        <w:spacing w:after="0"/>
        <w:rPr>
          <w:rFonts w:ascii="AGaramond" w:hAnsi="AGaramond"/>
          <w:sz w:val="22"/>
          <w:lang w:val="en-GB"/>
        </w:rPr>
      </w:pPr>
    </w:p>
    <w:p w14:paraId="1DE482F5" w14:textId="77777777" w:rsidR="00804602" w:rsidRPr="00804602" w:rsidRDefault="00804602" w:rsidP="00E057F1">
      <w:pPr>
        <w:spacing w:after="0"/>
        <w:jc w:val="center"/>
        <w:rPr>
          <w:rFonts w:ascii="AGaramond" w:hAnsi="AGaramond"/>
          <w:noProof/>
          <w:color w:val="FF0000"/>
          <w:sz w:val="16"/>
        </w:rPr>
      </w:pPr>
      <w:r w:rsidRPr="00804602">
        <w:rPr>
          <w:rFonts w:ascii="AGaramond" w:hAnsi="AGaramond"/>
          <w:noProof/>
          <w:color w:val="FF0000"/>
          <w:sz w:val="16"/>
        </w:rPr>
        <w:lastRenderedPageBreak/>
        <w:drawing>
          <wp:inline distT="0" distB="0" distL="0" distR="0" wp14:anchorId="232002B3" wp14:editId="1E144141">
            <wp:extent cx="5362222" cy="4343400"/>
            <wp:effectExtent l="25400" t="0" r="0" b="0"/>
            <wp:docPr id="4" name="Picture 0" descr="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jpg"/>
                    <pic:cNvPicPr/>
                  </pic:nvPicPr>
                  <pic:blipFill>
                    <a:blip r:embed="rId7"/>
                    <a:stretch>
                      <a:fillRect/>
                    </a:stretch>
                  </pic:blipFill>
                  <pic:spPr>
                    <a:xfrm>
                      <a:off x="0" y="0"/>
                      <a:ext cx="5365651" cy="4346177"/>
                    </a:xfrm>
                    <a:prstGeom prst="rect">
                      <a:avLst/>
                    </a:prstGeom>
                  </pic:spPr>
                </pic:pic>
              </a:graphicData>
            </a:graphic>
          </wp:inline>
        </w:drawing>
      </w:r>
    </w:p>
    <w:p w14:paraId="6280C453" w14:textId="77777777" w:rsidR="00804602" w:rsidRPr="00804602" w:rsidRDefault="00804602" w:rsidP="00804602">
      <w:pPr>
        <w:spacing w:after="0"/>
        <w:rPr>
          <w:rFonts w:ascii="AGaramond" w:hAnsi="AGaramond"/>
          <w:sz w:val="16"/>
        </w:rPr>
      </w:pPr>
      <w:r w:rsidRPr="00804602">
        <w:rPr>
          <w:rFonts w:ascii="AGaramond" w:hAnsi="AGaramond" w:cs="Times New Roman"/>
          <w:sz w:val="16"/>
          <w:szCs w:val="16"/>
        </w:rPr>
        <w:t>Design for Red House, Upton, Bexleyheath, by Philip Webb, 1859</w:t>
      </w:r>
      <w:r w:rsidRPr="00804602">
        <w:rPr>
          <w:rFonts w:ascii="AGaramond" w:hAnsi="AGaramond"/>
          <w:sz w:val="16"/>
        </w:rPr>
        <w:t xml:space="preserve">. </w:t>
      </w:r>
      <w:r w:rsidRPr="00804602">
        <w:rPr>
          <w:rFonts w:ascii="AGaramond" w:hAnsi="AGaramond" w:cs="Times New Roman"/>
          <w:sz w:val="16"/>
          <w:szCs w:val="16"/>
        </w:rPr>
        <w:t xml:space="preserve">Contract drawing showing plans of the ground and first floor of Red House, designed by Philip Webb for William Morris. The plans are shaded with orange and pink wash and annotated in black ink. There are pencil sketches throughout, showing alterations and details of the chimneys. The drawing is signed and dated by Webb in the lower right corner, and by the builder, William Kent, in the upper right corner. </w:t>
      </w:r>
      <w:r w:rsidRPr="00804602">
        <w:rPr>
          <w:rStyle w:val="Strong"/>
          <w:rFonts w:ascii="AGaramond" w:hAnsi="AGaramond"/>
          <w:b w:val="0"/>
          <w:sz w:val="16"/>
        </w:rPr>
        <w:t>© Victoria and Albert Museum, London</w:t>
      </w:r>
    </w:p>
    <w:p w14:paraId="00F87D65" w14:textId="77777777" w:rsidR="00804602" w:rsidRPr="00804602" w:rsidRDefault="00804602" w:rsidP="00246A09">
      <w:pPr>
        <w:spacing w:after="0"/>
        <w:rPr>
          <w:rFonts w:ascii="AGaramond" w:hAnsi="AGaramond"/>
          <w:b/>
          <w:sz w:val="16"/>
          <w:lang w:val="en-GB"/>
        </w:rPr>
      </w:pPr>
    </w:p>
    <w:p w14:paraId="57EF4BFB" w14:textId="77777777" w:rsidR="00804602" w:rsidRPr="00804602" w:rsidRDefault="00804602" w:rsidP="00246A09">
      <w:pPr>
        <w:spacing w:after="0"/>
        <w:rPr>
          <w:rFonts w:ascii="AGaramond" w:hAnsi="AGaramond"/>
          <w:b/>
          <w:sz w:val="16"/>
          <w:lang w:val="en-GB"/>
        </w:rPr>
      </w:pPr>
    </w:p>
    <w:p w14:paraId="1242B02F" w14:textId="77777777" w:rsidR="00804602" w:rsidRPr="00804602" w:rsidRDefault="00804602" w:rsidP="00246A09">
      <w:pPr>
        <w:spacing w:after="0"/>
        <w:rPr>
          <w:rFonts w:ascii="AGaramond" w:hAnsi="AGaramond"/>
          <w:b/>
          <w:sz w:val="22"/>
          <w:lang w:val="en-GB"/>
        </w:rPr>
      </w:pPr>
      <w:r w:rsidRPr="00804602">
        <w:rPr>
          <w:rFonts w:ascii="AGaramond" w:hAnsi="AGaramond"/>
          <w:b/>
          <w:sz w:val="22"/>
          <w:lang w:val="en-GB"/>
        </w:rPr>
        <w:t>3</w:t>
      </w:r>
    </w:p>
    <w:p w14:paraId="236DAB68" w14:textId="77777777" w:rsidR="00804602" w:rsidRPr="00804602" w:rsidRDefault="00804602" w:rsidP="00246A09">
      <w:pPr>
        <w:spacing w:after="0"/>
        <w:rPr>
          <w:rFonts w:ascii="AGaramond" w:hAnsi="AGaramond"/>
          <w:sz w:val="22"/>
          <w:lang w:val="en-GB"/>
        </w:rPr>
      </w:pPr>
      <w:r w:rsidRPr="00804602">
        <w:rPr>
          <w:rFonts w:ascii="AGaramond" w:hAnsi="AGaramond"/>
          <w:sz w:val="22"/>
          <w:lang w:val="en-GB"/>
        </w:rPr>
        <w:t xml:space="preserve">To clarify the relevance of this conceptualization to a renewed understanding of the </w:t>
      </w:r>
      <w:r w:rsidRPr="00804602">
        <w:rPr>
          <w:rFonts w:ascii="AGaramond" w:hAnsi="AGaramond"/>
          <w:i/>
          <w:sz w:val="22"/>
          <w:lang w:val="en-GB"/>
        </w:rPr>
        <w:t>project</w:t>
      </w:r>
      <w:r w:rsidRPr="00804602">
        <w:rPr>
          <w:rFonts w:ascii="AGaramond" w:hAnsi="AGaramond"/>
          <w:sz w:val="22"/>
          <w:lang w:val="en-GB"/>
        </w:rPr>
        <w:t xml:space="preserve"> and its pragmatics we will discuss the Red House designed in 1859 by Phillip Webb for William Morris in Bexleyheath, </w:t>
      </w:r>
      <w:r w:rsidRPr="00804602">
        <w:rPr>
          <w:rFonts w:ascii="AGaramond" w:hAnsi="AGaramond"/>
          <w:sz w:val="22"/>
        </w:rPr>
        <w:t xml:space="preserve">which would become the </w:t>
      </w:r>
      <w:r w:rsidRPr="00804602">
        <w:rPr>
          <w:rFonts w:ascii="AGaramond" w:hAnsi="AGaramond"/>
          <w:sz w:val="22"/>
          <w:lang w:val="en-GB"/>
        </w:rPr>
        <w:t xml:space="preserve">birthplace of the Arts and Crafts movement. To make matters clear, we will address these two modalities separately, starting with the polyphonic. </w:t>
      </w:r>
    </w:p>
    <w:p w14:paraId="41556E54" w14:textId="77777777" w:rsidR="00804602" w:rsidRPr="00804602" w:rsidRDefault="00804602" w:rsidP="00763AD2">
      <w:pPr>
        <w:spacing w:after="0"/>
        <w:rPr>
          <w:rFonts w:ascii="AGaramond" w:hAnsi="AGaramond"/>
          <w:sz w:val="22"/>
        </w:rPr>
      </w:pPr>
    </w:p>
    <w:p w14:paraId="0576532D" w14:textId="77777777" w:rsidR="00804602" w:rsidRPr="00804602" w:rsidRDefault="00804602" w:rsidP="00763AD2">
      <w:pPr>
        <w:spacing w:after="0"/>
        <w:rPr>
          <w:rFonts w:ascii="AGaramond" w:hAnsi="AGaramond"/>
          <w:sz w:val="22"/>
        </w:rPr>
      </w:pPr>
      <w:r w:rsidRPr="00804602">
        <w:rPr>
          <w:rFonts w:ascii="AGaramond" w:hAnsi="AGaramond"/>
          <w:sz w:val="22"/>
        </w:rPr>
        <w:t xml:space="preserve">The basic architectural layout of the Red House is an L shape that is two stories high. The L delimits a patio at the center of which lies a well. An existing orchard of apple and cherry trees encloses the other half of the patio. From the outside the Red House has a castle-like appearance with gothic windows and simple red brick. The chimneys and different shapes of the windows give rhythm to its volume. On the inside the rooms are oriented in an unusual way, with sitting rooms and drawing rooms facing north (with the exception of Morris’s studio), whereas the corridors and staircases face the sun-lit patio. Between 1859 and 1865 several people lived in the Red House together with the Morris family. Collectively they designed its wallpaper, painted the walls and designed and built its furniture. The Red House functioned as the testing ground for Morris’s company ‘The Firm’. </w:t>
      </w:r>
    </w:p>
    <w:p w14:paraId="2761A3D7" w14:textId="77777777" w:rsidR="00804602" w:rsidRPr="00804602" w:rsidRDefault="00804602" w:rsidP="00763AD2">
      <w:pPr>
        <w:spacing w:after="0"/>
        <w:rPr>
          <w:rFonts w:ascii="AGaramond" w:hAnsi="AGaramond"/>
          <w:sz w:val="22"/>
        </w:rPr>
      </w:pPr>
    </w:p>
    <w:p w14:paraId="67D73550" w14:textId="77777777" w:rsidR="00804602" w:rsidRPr="00804602" w:rsidRDefault="00804602" w:rsidP="00763AD2">
      <w:pPr>
        <w:spacing w:after="0"/>
        <w:rPr>
          <w:rFonts w:ascii="AGaramond" w:hAnsi="AGaramond"/>
          <w:sz w:val="22"/>
          <w:u w:val="single"/>
        </w:rPr>
      </w:pPr>
      <w:r w:rsidRPr="00804602">
        <w:rPr>
          <w:rFonts w:ascii="AGaramond" w:hAnsi="AGaramond"/>
          <w:sz w:val="22"/>
        </w:rPr>
        <w:t xml:space="preserve">The historiography of the Red House is disputed in terms of its revolutionary character and importance. </w:t>
      </w:r>
      <w:r w:rsidRPr="00804602">
        <w:rPr>
          <w:rFonts w:ascii="AGaramond" w:hAnsi="AGaramond"/>
          <w:sz w:val="22"/>
          <w:lang w:val="en-GB"/>
        </w:rPr>
        <w:t xml:space="preserve">Hermann </w:t>
      </w:r>
      <w:r w:rsidRPr="00804602">
        <w:rPr>
          <w:rFonts w:ascii="AGaramond" w:hAnsi="AGaramond"/>
          <w:sz w:val="22"/>
        </w:rPr>
        <w:t>Muthesius described it as ‘</w:t>
      </w:r>
      <w:r w:rsidRPr="00804602">
        <w:rPr>
          <w:rFonts w:ascii="AGaramond" w:hAnsi="AGaramond"/>
          <w:sz w:val="22"/>
          <w:szCs w:val="18"/>
        </w:rPr>
        <w:t>the first house to be conceived and built as a unified whole inside and out, the very first example in the history of the modern house’.</w:t>
      </w:r>
      <w:r w:rsidRPr="00804602">
        <w:rPr>
          <w:rStyle w:val="FootnoteReference"/>
          <w:rFonts w:ascii="AGaramond" w:hAnsi="AGaramond"/>
          <w:sz w:val="22"/>
          <w:szCs w:val="18"/>
        </w:rPr>
        <w:footnoteReference w:id="9"/>
      </w:r>
      <w:r w:rsidRPr="00804602">
        <w:rPr>
          <w:rFonts w:ascii="AGaramond" w:hAnsi="AGaramond"/>
          <w:sz w:val="22"/>
        </w:rPr>
        <w:t xml:space="preserve"> </w:t>
      </w:r>
      <w:r w:rsidRPr="00804602">
        <w:rPr>
          <w:rFonts w:ascii="AGaramond" w:hAnsi="AGaramond"/>
          <w:sz w:val="22"/>
          <w:lang w:val="en-GB"/>
        </w:rPr>
        <w:t>In a similar vein, for Nikolaus Pevsner, it was one of the pioneering buildings of the Modern Movement due to the relation of the simple elevation with the interior.</w:t>
      </w:r>
      <w:r w:rsidRPr="00804602">
        <w:rPr>
          <w:rStyle w:val="FootnoteReference"/>
          <w:rFonts w:ascii="AGaramond" w:hAnsi="AGaramond"/>
          <w:sz w:val="22"/>
          <w:lang w:val="en-GB"/>
        </w:rPr>
        <w:footnoteReference w:id="10"/>
      </w:r>
      <w:r w:rsidRPr="00804602">
        <w:rPr>
          <w:rFonts w:ascii="AGaramond" w:hAnsi="AGaramond"/>
          <w:sz w:val="22"/>
          <w:lang w:val="en-GB"/>
        </w:rPr>
        <w:t xml:space="preserve"> However, for Brandon-Jones the Red House was far less unique as it followed closely G. E. Street’s designs. Similarly, for Henry-Russell Hitchcock it was little more than a typological variation of both Street and William Butterfield vicarages and </w:t>
      </w:r>
      <w:r w:rsidRPr="00804602">
        <w:rPr>
          <w:rFonts w:ascii="AGaramond" w:hAnsi="AGaramond" w:cs="Times New Roman"/>
          <w:sz w:val="22"/>
          <w:szCs w:val="18"/>
        </w:rPr>
        <w:t>parsonages, with their red brick walls, simple lines, high-pitched roofs and functional internal circulations.</w:t>
      </w:r>
      <w:r w:rsidRPr="00804602">
        <w:rPr>
          <w:rStyle w:val="FootnoteReference"/>
          <w:rFonts w:ascii="AGaramond" w:hAnsi="AGaramond" w:cs="Times New Roman"/>
          <w:sz w:val="22"/>
          <w:szCs w:val="18"/>
        </w:rPr>
        <w:footnoteReference w:id="11"/>
      </w:r>
      <w:r w:rsidRPr="00804602">
        <w:rPr>
          <w:rFonts w:ascii="AGaramond" w:hAnsi="AGaramond" w:cs="Times New Roman"/>
          <w:sz w:val="22"/>
          <w:szCs w:val="18"/>
        </w:rPr>
        <w:t xml:space="preserve"> In all these readings, the key critical factors to understand where the Red House stands in the </w:t>
      </w:r>
      <w:r w:rsidRPr="00804602">
        <w:rPr>
          <w:rFonts w:ascii="AGaramond" w:hAnsi="AGaramond" w:cs="Times New Roman"/>
          <w:sz w:val="22"/>
          <w:szCs w:val="18"/>
        </w:rPr>
        <w:lastRenderedPageBreak/>
        <w:t xml:space="preserve">history of architecture are its use of red brick, the medieval construction techniques, the simplicity of its lines and the styles and influences manifest in its design and decoration. These are particular components or aspects whose presence is seen either as evidence of a breakthrough (precedent to modern architecture) or as following a tradition set up by Webb’s masters. </w:t>
      </w:r>
    </w:p>
    <w:p w14:paraId="46251F78" w14:textId="77777777" w:rsidR="00804602" w:rsidRPr="00804602" w:rsidRDefault="00804602" w:rsidP="00763AD2">
      <w:pPr>
        <w:spacing w:after="0"/>
        <w:rPr>
          <w:rFonts w:ascii="AGaramond" w:hAnsi="AGaramond"/>
          <w:sz w:val="22"/>
        </w:rPr>
      </w:pPr>
    </w:p>
    <w:p w14:paraId="19351D88" w14:textId="77777777" w:rsidR="00804602" w:rsidRPr="00804602" w:rsidRDefault="00804602" w:rsidP="00763AD2">
      <w:pPr>
        <w:spacing w:after="0"/>
        <w:rPr>
          <w:rFonts w:ascii="AGaramond" w:hAnsi="AGaramond"/>
          <w:sz w:val="22"/>
        </w:rPr>
      </w:pPr>
      <w:r w:rsidRPr="00804602">
        <w:rPr>
          <w:rFonts w:ascii="AGaramond" w:hAnsi="AGaramond"/>
          <w:sz w:val="22"/>
        </w:rPr>
        <w:t xml:space="preserve">Following this critical method a particularly insightful analysis of the Red House is that by Robin Evans, in his </w:t>
      </w:r>
      <w:r w:rsidRPr="00804602">
        <w:rPr>
          <w:rFonts w:ascii="AGaramond" w:hAnsi="AGaramond"/>
          <w:sz w:val="22"/>
          <w:lang w:val="en-GB"/>
        </w:rPr>
        <w:t xml:space="preserve">essay entitled ‘Figures, Doors, Passages’ from 1978. In it Robin </w:t>
      </w:r>
      <w:r w:rsidRPr="00804602">
        <w:rPr>
          <w:rFonts w:ascii="AGaramond" w:hAnsi="AGaramond"/>
          <w:sz w:val="22"/>
        </w:rPr>
        <w:t>Evans addresses the paradox between Morris and Philip Webb’s radical questioning of Victorian society and their tacit implementation of nineteenth-century accepted spatial conventions. Evans referred to the lower- and upper-floor corridors, which not only allowed for familial ideas of privacy but also structured divisions of labor between master and servants. The corridor, Evans reminds us, has a fairly recent history, making its first appearance in England in the late seventeenth-century and becoming widely accepted during the nineteenth-century, as a replacement of the thoroughfare.</w:t>
      </w:r>
      <w:r w:rsidRPr="00804602">
        <w:rPr>
          <w:rFonts w:ascii="AGaramond" w:hAnsi="AGaramond"/>
          <w:sz w:val="22"/>
          <w:lang w:val="en-GB"/>
        </w:rPr>
        <w:t xml:space="preserve"> For Evans, the existence of the corridor indicated that the Red House was far more common in social principles than might be expected from Morris’s notorious social extravaganza. In his view, Morris’s interest in the medieval period was mostly spiritual and did not extend to its carnal aspects. To further this point, Evans mentions </w:t>
      </w:r>
      <w:r w:rsidRPr="00804602">
        <w:rPr>
          <w:rFonts w:ascii="AGaramond" w:hAnsi="AGaramond"/>
          <w:sz w:val="22"/>
        </w:rPr>
        <w:t>the abstract diagrams of trajectory and position</w:t>
      </w:r>
      <w:r w:rsidRPr="00804602">
        <w:rPr>
          <w:rFonts w:ascii="AGaramond" w:hAnsi="AGaramond"/>
          <w:sz w:val="22"/>
          <w:lang w:val="en-GB"/>
        </w:rPr>
        <w:t xml:space="preserve"> </w:t>
      </w:r>
      <w:r w:rsidRPr="00804602">
        <w:rPr>
          <w:rFonts w:ascii="AGaramond" w:hAnsi="AGaramond"/>
          <w:sz w:val="22"/>
        </w:rPr>
        <w:t>that Robert Kerr used to promote the privacy standards of Victorian society.</w:t>
      </w:r>
      <w:r w:rsidRPr="00804602">
        <w:rPr>
          <w:rStyle w:val="FootnoteReference"/>
          <w:rFonts w:ascii="AGaramond" w:hAnsi="AGaramond"/>
          <w:sz w:val="22"/>
        </w:rPr>
        <w:footnoteReference w:id="12"/>
      </w:r>
      <w:r w:rsidRPr="00804602">
        <w:rPr>
          <w:rFonts w:ascii="AGaramond" w:hAnsi="AGaramond"/>
          <w:sz w:val="22"/>
        </w:rPr>
        <w:t xml:space="preserve"> According to Evans, the Red House would be the perfect illustration of these diagrams as ‘rooms never interconnect, never have more than one door, and circulation space is unified and distinct’.</w:t>
      </w:r>
      <w:r w:rsidRPr="00804602">
        <w:rPr>
          <w:rStyle w:val="FootnoteReference"/>
          <w:rFonts w:ascii="AGaramond" w:hAnsi="AGaramond"/>
          <w:sz w:val="22"/>
        </w:rPr>
        <w:footnoteReference w:id="13"/>
      </w:r>
      <w:r w:rsidRPr="00804602">
        <w:rPr>
          <w:rFonts w:ascii="AGaramond" w:hAnsi="AGaramond"/>
          <w:sz w:val="22"/>
        </w:rPr>
        <w:t xml:space="preserve"> Evan’s analysis is both beautifully written and sharp, cutting through accepted conventions to reveal the underbelly of Webb and Morris’ project, and, indeed of modern architecture itself. His point is that at the </w:t>
      </w:r>
      <w:r w:rsidRPr="00804602">
        <w:rPr>
          <w:rFonts w:ascii="AGaramond" w:hAnsi="AGaramond"/>
          <w:i/>
          <w:sz w:val="22"/>
        </w:rPr>
        <w:t>heart</w:t>
      </w:r>
      <w:r w:rsidRPr="00804602">
        <w:rPr>
          <w:rFonts w:ascii="AGaramond" w:hAnsi="AGaramond"/>
          <w:sz w:val="22"/>
        </w:rPr>
        <w:t xml:space="preserve"> of Morris and Webb’s socialist ideas was in fact a fairly bourgeoisie imagination. The corridor is the give-away in its promotion of a frictionless living. </w:t>
      </w:r>
    </w:p>
    <w:p w14:paraId="25BAA334" w14:textId="77777777" w:rsidR="00804602" w:rsidRPr="00804602" w:rsidRDefault="00804602" w:rsidP="00763AD2">
      <w:pPr>
        <w:spacing w:after="0"/>
        <w:rPr>
          <w:rFonts w:ascii="AGaramond" w:hAnsi="AGaramond"/>
          <w:sz w:val="22"/>
        </w:rPr>
      </w:pPr>
    </w:p>
    <w:p w14:paraId="0413CF98" w14:textId="77777777" w:rsidR="00804602" w:rsidRPr="00804602" w:rsidRDefault="00804602" w:rsidP="00763AD2">
      <w:pPr>
        <w:spacing w:after="0"/>
        <w:rPr>
          <w:rFonts w:ascii="AGaramond" w:hAnsi="AGaramond"/>
          <w:sz w:val="22"/>
        </w:rPr>
      </w:pPr>
      <w:r w:rsidRPr="00804602">
        <w:rPr>
          <w:rFonts w:ascii="AGaramond" w:hAnsi="AGaramond"/>
          <w:sz w:val="22"/>
        </w:rPr>
        <w:t xml:space="preserve">And yet, is there not a limit to this very modern practice of revelation? What we see in Evans but also in all the previous interpretations of the Red House is a method of analysis that draws upon singular aspects to derive general conclusions about the project as a whole. Each component of the design (the red brick, the corridor, etc.) is treated as evidence of the overall project’s intentions. While there is nothing wrong with the method when used for specific purposes (for instance, the use of neo-gothic windows allows the Red House to be located in a specific historic period), an overall critique of the </w:t>
      </w:r>
      <w:r w:rsidRPr="00804602">
        <w:rPr>
          <w:rFonts w:ascii="AGaramond" w:hAnsi="AGaramond"/>
          <w:i/>
          <w:sz w:val="22"/>
        </w:rPr>
        <w:t>project</w:t>
      </w:r>
      <w:r w:rsidRPr="00804602">
        <w:rPr>
          <w:rFonts w:ascii="AGaramond" w:hAnsi="AGaramond"/>
          <w:sz w:val="22"/>
        </w:rPr>
        <w:t xml:space="preserve"> requires far more nuanced and careful approaches. In detaching the evidence from its pragmatic context, i.e. from a broader design, a very problematic reduction takes place. </w:t>
      </w:r>
      <w:r w:rsidRPr="00804602">
        <w:rPr>
          <w:rFonts w:ascii="AGaramond" w:hAnsi="AGaramond" w:cs="Times New Roman"/>
          <w:sz w:val="22"/>
          <w:szCs w:val="18"/>
        </w:rPr>
        <w:t>It is as an alternative to this rhetoric method whereby components are removed from their composition so that a revelation of what is ‘essential’ might take place that Guattari’s framework proves more useful.</w:t>
      </w:r>
    </w:p>
    <w:p w14:paraId="070FBB8F" w14:textId="77777777" w:rsidR="00804602" w:rsidRPr="00804602" w:rsidRDefault="00804602" w:rsidP="00763AD2">
      <w:pPr>
        <w:spacing w:after="0"/>
        <w:rPr>
          <w:rFonts w:ascii="AGaramond" w:hAnsi="AGaramond"/>
          <w:sz w:val="22"/>
        </w:rPr>
      </w:pPr>
    </w:p>
    <w:p w14:paraId="019B1F6A" w14:textId="77777777" w:rsidR="00804602" w:rsidRPr="00804602" w:rsidRDefault="00804602" w:rsidP="00763AD2">
      <w:pPr>
        <w:spacing w:after="0"/>
        <w:rPr>
          <w:rFonts w:ascii="AGaramond" w:hAnsi="AGaramond"/>
          <w:sz w:val="22"/>
        </w:rPr>
      </w:pPr>
      <w:r w:rsidRPr="00804602">
        <w:rPr>
          <w:rFonts w:ascii="AGaramond" w:hAnsi="AGaramond"/>
          <w:sz w:val="22"/>
        </w:rPr>
        <w:t>Let us return to the Red House. By all accounts, Webb followed Ruskin's advice on how to detail architecture:</w:t>
      </w:r>
      <w:r w:rsidRPr="00804602">
        <w:rPr>
          <w:rFonts w:ascii="AGaramond" w:hAnsi="AGaramond"/>
          <w:sz w:val="22"/>
          <w:szCs w:val="16"/>
        </w:rPr>
        <w:t xml:space="preserve"> ‘</w:t>
      </w:r>
      <w:r w:rsidRPr="00804602">
        <w:rPr>
          <w:rFonts w:ascii="AGaramond" w:hAnsi="AGaramond"/>
          <w:sz w:val="22"/>
        </w:rPr>
        <w:t>Do not be afraid of incongruities—do not think of unities of</w:t>
      </w:r>
      <w:r w:rsidRPr="00804602">
        <w:rPr>
          <w:rStyle w:val="pagenum"/>
          <w:rFonts w:ascii="AGaramond" w:hAnsi="AGaramond"/>
          <w:sz w:val="22"/>
        </w:rPr>
        <w:t xml:space="preserve"> </w:t>
      </w:r>
      <w:r w:rsidRPr="00804602">
        <w:rPr>
          <w:rFonts w:ascii="AGaramond" w:hAnsi="AGaramond"/>
          <w:sz w:val="22"/>
        </w:rPr>
        <w:t>effect (…), find out what will make you comfortable, build that in the strongest and boldest way, and then set your fancy free in the decoration of it</w:t>
      </w:r>
      <w:r w:rsidRPr="00804602">
        <w:rPr>
          <w:rFonts w:ascii="AGaramond" w:hAnsi="AGaramond"/>
          <w:sz w:val="22"/>
          <w:szCs w:val="15"/>
        </w:rPr>
        <w:t>.’</w:t>
      </w:r>
      <w:r w:rsidRPr="00804602">
        <w:rPr>
          <w:rStyle w:val="FootnoteReference"/>
          <w:rFonts w:ascii="AGaramond" w:hAnsi="AGaramond"/>
          <w:sz w:val="22"/>
          <w:szCs w:val="15"/>
        </w:rPr>
        <w:footnoteReference w:id="14"/>
      </w:r>
      <w:r w:rsidRPr="00804602">
        <w:rPr>
          <w:rFonts w:ascii="AGaramond" w:hAnsi="AGaramond"/>
          <w:sz w:val="22"/>
          <w:lang w:val="en-GB"/>
        </w:rPr>
        <w:t xml:space="preserve"> The simplicity of the layout that has been noted by many authors attests to Ruskin’s influence over Webb. But so does the medieval approach to construction techniques, which requires a degree of formal autonomy from each part, from the</w:t>
      </w:r>
      <w:r w:rsidRPr="00804602">
        <w:rPr>
          <w:rFonts w:ascii="AGaramond" w:hAnsi="AGaramond"/>
          <w:sz w:val="22"/>
        </w:rPr>
        <w:t xml:space="preserve"> steep roofs and the prominent chimneys to the cross gables and exposed-beam ceilings. Overall ambitions were also apparently incongruous: </w:t>
      </w:r>
      <w:r w:rsidRPr="00804602">
        <w:rPr>
          <w:rFonts w:ascii="AGaramond" w:hAnsi="AGaramond"/>
          <w:sz w:val="22"/>
          <w:lang w:val="en-GB"/>
        </w:rPr>
        <w:t>if on the one hand it manifested socialist principles in the choice of red brick instead of stucco, it also embodied a romantic understanding of landscape as is revealed by its location in a Chaucerian path of the C</w:t>
      </w:r>
      <w:r w:rsidRPr="00804602">
        <w:rPr>
          <w:rFonts w:ascii="AGaramond" w:hAnsi="AGaramond"/>
          <w:sz w:val="22"/>
        </w:rPr>
        <w:t>anterbury pilgrims</w:t>
      </w:r>
      <w:r w:rsidRPr="00804602">
        <w:rPr>
          <w:rFonts w:ascii="AGaramond" w:hAnsi="AGaramond"/>
          <w:sz w:val="22"/>
          <w:lang w:val="en-GB"/>
        </w:rPr>
        <w:t xml:space="preserve">. </w:t>
      </w:r>
      <w:r w:rsidRPr="00804602">
        <w:rPr>
          <w:rFonts w:ascii="AGaramond" w:hAnsi="AGaramond"/>
          <w:sz w:val="22"/>
        </w:rPr>
        <w:t xml:space="preserve">This allowance of difference and autonomy of parts is even more clearly felt in the treatment of each detail in the house, from furniture and murals to textiles, wallpapers and tiles, as each was product of an artistic intervention. Most of the time, the making and decorating of the house was a collective labor, investing in each of these elements the quality of a social and affective register. From the paintings to the stained glass or the tapestry, the Red House was both site and object of collective material experimentation. We can safely argue that multiplicity of modes of expression was central to the project from the start. </w:t>
      </w:r>
    </w:p>
    <w:p w14:paraId="3710DD68" w14:textId="77777777" w:rsidR="00804602" w:rsidRPr="00804602" w:rsidRDefault="00804602" w:rsidP="00763AD2">
      <w:pPr>
        <w:spacing w:after="0"/>
        <w:rPr>
          <w:rFonts w:ascii="AGaramond" w:hAnsi="AGaramond"/>
          <w:sz w:val="22"/>
          <w:lang w:val="en-GB"/>
        </w:rPr>
      </w:pPr>
    </w:p>
    <w:p w14:paraId="1D0AA598" w14:textId="77777777" w:rsidR="00804602" w:rsidRPr="00804602" w:rsidRDefault="00804602" w:rsidP="00786B11">
      <w:pPr>
        <w:widowControl w:val="0"/>
        <w:autoSpaceDE w:val="0"/>
        <w:autoSpaceDN w:val="0"/>
        <w:adjustRightInd w:val="0"/>
        <w:spacing w:after="0"/>
        <w:rPr>
          <w:rFonts w:ascii="AGaramond" w:hAnsi="AGaramond"/>
          <w:b/>
          <w:noProof/>
          <w:color w:val="FF0000"/>
          <w:sz w:val="18"/>
        </w:rPr>
      </w:pPr>
      <w:r w:rsidRPr="00804602">
        <w:rPr>
          <w:rFonts w:ascii="AGaramond" w:hAnsi="AGaramond"/>
          <w:b/>
          <w:noProof/>
          <w:color w:val="FF0000"/>
          <w:sz w:val="18"/>
        </w:rPr>
        <w:lastRenderedPageBreak/>
        <w:drawing>
          <wp:inline distT="0" distB="0" distL="0" distR="0" wp14:anchorId="0A18253F" wp14:editId="5B599210">
            <wp:extent cx="5270500" cy="4283710"/>
            <wp:effectExtent l="25400" t="0" r="0" b="0"/>
            <wp:docPr id="5" name="Picture 1" descr="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jpg"/>
                    <pic:cNvPicPr/>
                  </pic:nvPicPr>
                  <pic:blipFill>
                    <a:blip r:embed="rId8"/>
                    <a:stretch>
                      <a:fillRect/>
                    </a:stretch>
                  </pic:blipFill>
                  <pic:spPr>
                    <a:xfrm>
                      <a:off x="0" y="0"/>
                      <a:ext cx="5270500" cy="4283710"/>
                    </a:xfrm>
                    <a:prstGeom prst="rect">
                      <a:avLst/>
                    </a:prstGeom>
                  </pic:spPr>
                </pic:pic>
              </a:graphicData>
            </a:graphic>
          </wp:inline>
        </w:drawing>
      </w:r>
    </w:p>
    <w:p w14:paraId="3C7F69BF" w14:textId="77777777" w:rsidR="00804602" w:rsidRPr="00804602" w:rsidRDefault="00804602" w:rsidP="00786B11">
      <w:pPr>
        <w:widowControl w:val="0"/>
        <w:autoSpaceDE w:val="0"/>
        <w:autoSpaceDN w:val="0"/>
        <w:adjustRightInd w:val="0"/>
        <w:spacing w:after="0"/>
        <w:rPr>
          <w:rFonts w:ascii="AGaramond" w:hAnsi="AGaramond" w:cs="Times New Roman"/>
          <w:sz w:val="16"/>
          <w:szCs w:val="16"/>
        </w:rPr>
      </w:pPr>
      <w:r w:rsidRPr="00804602">
        <w:rPr>
          <w:rFonts w:ascii="AGaramond" w:hAnsi="AGaramond" w:cs="Times New Roman"/>
          <w:sz w:val="16"/>
          <w:szCs w:val="16"/>
        </w:rPr>
        <w:t>Design for Red House, Upton, Bexleyheath, by Philip Webb, 1859</w:t>
      </w:r>
      <w:r w:rsidRPr="00804602">
        <w:rPr>
          <w:rFonts w:ascii="AGaramond" w:hAnsi="AGaramond"/>
          <w:sz w:val="18"/>
        </w:rPr>
        <w:t>.</w:t>
      </w:r>
      <w:r w:rsidRPr="00804602">
        <w:rPr>
          <w:rFonts w:ascii="AGaramond" w:hAnsi="AGaramond"/>
          <w:b/>
          <w:sz w:val="18"/>
        </w:rPr>
        <w:t xml:space="preserve"> </w:t>
      </w:r>
      <w:r w:rsidRPr="00804602">
        <w:rPr>
          <w:rFonts w:ascii="AGaramond" w:hAnsi="AGaramond" w:cs="Times New Roman"/>
          <w:sz w:val="16"/>
          <w:szCs w:val="16"/>
        </w:rPr>
        <w:t xml:space="preserve">Contract drawing for Red House, designed by Philip Webb for William Morris. The sheet shows elevations of the house at two points, marked E-F and K-L on the ground plan (E.59-1916). The sections are drawn in black ink and shaded with red and brown watercolour, with pencil annotations throughout. To the right of the sheet there are pencil sketches showing details of the windows and chimneys. The sheet is signed and dated by Philip Webb in the lower right corner, and signed by the builder, William Kent, in the upper right corner. </w:t>
      </w:r>
      <w:r w:rsidRPr="00804602">
        <w:rPr>
          <w:rStyle w:val="Strong"/>
          <w:rFonts w:ascii="AGaramond" w:hAnsi="AGaramond"/>
          <w:b w:val="0"/>
          <w:sz w:val="16"/>
        </w:rPr>
        <w:t>© Victoria and Albert Museum, London</w:t>
      </w:r>
    </w:p>
    <w:p w14:paraId="7F08A0B2" w14:textId="77777777" w:rsidR="00804602" w:rsidRPr="00804602" w:rsidRDefault="00804602" w:rsidP="00763AD2">
      <w:pPr>
        <w:spacing w:after="0"/>
        <w:rPr>
          <w:rFonts w:ascii="AGaramond" w:hAnsi="AGaramond"/>
          <w:sz w:val="22"/>
          <w:lang w:val="en-GB"/>
        </w:rPr>
      </w:pPr>
    </w:p>
    <w:p w14:paraId="0909C47A" w14:textId="77777777" w:rsidR="00804602" w:rsidRPr="00804602" w:rsidRDefault="00804602" w:rsidP="00763AD2">
      <w:pPr>
        <w:spacing w:after="0"/>
        <w:rPr>
          <w:rFonts w:ascii="AGaramond" w:hAnsi="AGaramond"/>
          <w:sz w:val="22"/>
          <w:lang w:val="en-GB"/>
        </w:rPr>
      </w:pPr>
    </w:p>
    <w:p w14:paraId="56C340E1" w14:textId="77777777" w:rsidR="00804602" w:rsidRPr="00804602" w:rsidRDefault="00804602" w:rsidP="00763AD2">
      <w:pPr>
        <w:spacing w:after="0"/>
        <w:rPr>
          <w:rFonts w:ascii="AGaramond" w:hAnsi="AGaramond"/>
          <w:sz w:val="22"/>
          <w:lang w:val="en-GB"/>
        </w:rPr>
      </w:pPr>
    </w:p>
    <w:p w14:paraId="1B9CD94C" w14:textId="77777777" w:rsidR="00804602" w:rsidRPr="00804602" w:rsidRDefault="00804602" w:rsidP="00763AD2">
      <w:pPr>
        <w:spacing w:after="0"/>
        <w:rPr>
          <w:rFonts w:ascii="AGaramond" w:hAnsi="AGaramond"/>
          <w:sz w:val="22"/>
          <w:lang w:val="en-GB"/>
        </w:rPr>
      </w:pPr>
      <w:r w:rsidRPr="00804602">
        <w:rPr>
          <w:rFonts w:ascii="AGaramond" w:hAnsi="AGaramond"/>
          <w:sz w:val="22"/>
          <w:lang w:val="en-GB"/>
        </w:rPr>
        <w:t xml:space="preserve">All these and many more are examples of the veritable polyphony of voices that are speaking in the Red House and of the complex nature of Webb’s project. To speak of autonomous voices is not to say the house lacked a sense of unity – quite the opposite is noted by H. </w:t>
      </w:r>
      <w:r w:rsidRPr="00804602">
        <w:rPr>
          <w:rFonts w:ascii="AGaramond" w:hAnsi="AGaramond"/>
          <w:sz w:val="22"/>
        </w:rPr>
        <w:t>Muthesius as we mentioned above;</w:t>
      </w:r>
      <w:r w:rsidRPr="00804602">
        <w:rPr>
          <w:rFonts w:ascii="AGaramond" w:hAnsi="AGaramond"/>
          <w:sz w:val="22"/>
          <w:lang w:val="en-GB"/>
        </w:rPr>
        <w:t xml:space="preserve"> nor are these voices something unique to the Red House. To speak of polyphony is to identify the many modes of expression at work in a certain project and the different ways in which these complement each other. Polyphony, thus, undermines the critical search for the essential by foregrounding the multiplicity of possibilities in play. I</w:t>
      </w:r>
      <w:r w:rsidRPr="00804602">
        <w:rPr>
          <w:rFonts w:ascii="AGaramond" w:hAnsi="AGaramond"/>
          <w:sz w:val="22"/>
        </w:rPr>
        <w:t>s it not possible, for instance, that</w:t>
      </w:r>
      <w:r w:rsidRPr="00804602">
        <w:rPr>
          <w:rFonts w:ascii="AGaramond" w:hAnsi="AGaramond"/>
          <w:sz w:val="22"/>
          <w:lang w:val="en-GB"/>
        </w:rPr>
        <w:t xml:space="preserve"> the collective modes of living produced a different conception of privacy that the one of a typical Victorian family; that the wallpapers designed by Morris gave consistency to the formation of new subjectivities; that certain aspects of the layout would counter-balance the role of the corridor? </w:t>
      </w:r>
      <w:r w:rsidRPr="00804602">
        <w:rPr>
          <w:rFonts w:ascii="AGaramond" w:hAnsi="AGaramond"/>
          <w:sz w:val="22"/>
        </w:rPr>
        <w:t xml:space="preserve">For instance, </w:t>
      </w:r>
      <w:r w:rsidRPr="00804602">
        <w:rPr>
          <w:rFonts w:ascii="AGaramond" w:hAnsi="AGaramond"/>
          <w:sz w:val="22"/>
          <w:szCs w:val="17"/>
        </w:rPr>
        <w:t>Brandon-Jones provides an almost inverse perspective regarding the plan:</w:t>
      </w:r>
      <w:r w:rsidRPr="00804602">
        <w:rPr>
          <w:rFonts w:ascii="AGaramond" w:hAnsi="AGaramond" w:cs="Times New Roman"/>
          <w:sz w:val="22"/>
          <w:szCs w:val="18"/>
        </w:rPr>
        <w:t xml:space="preserve"> ‘</w:t>
      </w:r>
      <w:r w:rsidRPr="00804602">
        <w:rPr>
          <w:rFonts w:ascii="AGaramond" w:hAnsi="AGaramond"/>
          <w:sz w:val="22"/>
          <w:szCs w:val="18"/>
        </w:rPr>
        <w:t xml:space="preserve">more </w:t>
      </w:r>
      <w:r w:rsidRPr="00804602">
        <w:rPr>
          <w:rFonts w:ascii="AGaramond" w:hAnsi="AGaramond"/>
          <w:sz w:val="22"/>
          <w:szCs w:val="17"/>
        </w:rPr>
        <w:t>revolutionary than any of the architectural features was the raising of the kitchen from its customary position in the basement, and the provision of windows allowing the servants to overlook the garden’.</w:t>
      </w:r>
      <w:r w:rsidRPr="00804602">
        <w:rPr>
          <w:rStyle w:val="FootnoteReference"/>
          <w:rFonts w:ascii="AGaramond" w:hAnsi="AGaramond"/>
          <w:sz w:val="22"/>
          <w:szCs w:val="17"/>
        </w:rPr>
        <w:footnoteReference w:id="15"/>
      </w:r>
      <w:r w:rsidRPr="00804602">
        <w:rPr>
          <w:rFonts w:ascii="AGaramond" w:hAnsi="AGaramond"/>
          <w:sz w:val="22"/>
          <w:szCs w:val="17"/>
        </w:rPr>
        <w:t xml:space="preserve"> </w:t>
      </w:r>
      <w:r w:rsidRPr="00804602">
        <w:rPr>
          <w:rFonts w:ascii="AGaramond" w:hAnsi="AGaramond"/>
          <w:sz w:val="22"/>
        </w:rPr>
        <w:t xml:space="preserve">The problem of Evan’s analysis in this sense – and that of many other critics – is the reduction of the project to the singular aspect that has been identified. That the corridor was unaddressed by centuries of architectural theory is an important critical insight. </w:t>
      </w:r>
      <w:r w:rsidRPr="00804602">
        <w:rPr>
          <w:rFonts w:ascii="AGaramond" w:hAnsi="AGaramond"/>
          <w:sz w:val="22"/>
          <w:lang w:val="en-GB"/>
        </w:rPr>
        <w:t xml:space="preserve">But only by taking into consideration these different types of expressive materials, and how they enter into composition with each other, can a rigorous discussion of the Red House take place. </w:t>
      </w:r>
    </w:p>
    <w:p w14:paraId="6B48FF1D" w14:textId="77777777" w:rsidR="00804602" w:rsidRPr="00804602" w:rsidRDefault="00804602" w:rsidP="00763AD2">
      <w:pPr>
        <w:spacing w:after="0"/>
        <w:rPr>
          <w:rFonts w:ascii="AGaramond" w:hAnsi="AGaramond"/>
          <w:sz w:val="22"/>
        </w:rPr>
      </w:pPr>
    </w:p>
    <w:p w14:paraId="6A6FF8D0" w14:textId="77777777" w:rsidR="00804602" w:rsidRPr="00804602" w:rsidRDefault="00804602" w:rsidP="00763AD2">
      <w:pPr>
        <w:spacing w:after="0"/>
        <w:rPr>
          <w:rFonts w:ascii="AGaramond" w:hAnsi="AGaramond"/>
          <w:strike/>
          <w:sz w:val="22"/>
          <w:lang w:val="en-GB"/>
        </w:rPr>
      </w:pPr>
      <w:r w:rsidRPr="00804602">
        <w:rPr>
          <w:rFonts w:ascii="AGaramond" w:hAnsi="AGaramond"/>
          <w:sz w:val="22"/>
          <w:lang w:val="en-GB"/>
        </w:rPr>
        <w:t>The Red House provides a clear example of the polyphonic nature of an architectural project. It brings to the forefront the different ‘expressive materials’ that architecture composes, with their interrelated and yet autonomous elements. Evans’ analysis, brilliant as it is, is a perfect example of how these have been silenced by the modern tradition of critique. And in doing so, it tends to disregard not only the multiplicity of processes at work in architecture but also the continuing and shifting balances of power between all these voices. That these different expressive materials come together to form a singular architectural project does not mean they are not autonomous. And it is this coexistence within the project that, in not being subsumed to a totalizing unity, in our view allows differences to remain productive of novel and unexpected consequences.</w:t>
      </w:r>
      <w:r w:rsidRPr="00804602">
        <w:rPr>
          <w:rFonts w:ascii="AGaramond" w:hAnsi="AGaramond"/>
          <w:strike/>
          <w:sz w:val="22"/>
          <w:u w:val="single"/>
          <w:lang w:val="en-GB"/>
        </w:rPr>
        <w:t xml:space="preserve"> </w:t>
      </w:r>
    </w:p>
    <w:p w14:paraId="64A93860" w14:textId="77777777" w:rsidR="00804602" w:rsidRPr="00804602" w:rsidRDefault="00804602" w:rsidP="00246A09">
      <w:pPr>
        <w:spacing w:after="0"/>
        <w:rPr>
          <w:rFonts w:ascii="AGaramond" w:hAnsi="AGaramond"/>
          <w:sz w:val="22"/>
          <w:lang w:val="en-GB"/>
        </w:rPr>
      </w:pPr>
    </w:p>
    <w:p w14:paraId="4AE49B88" w14:textId="77777777" w:rsidR="00804602" w:rsidRPr="00804602" w:rsidRDefault="00804602" w:rsidP="00246A09">
      <w:pPr>
        <w:spacing w:after="0"/>
        <w:rPr>
          <w:rFonts w:ascii="AGaramond" w:hAnsi="AGaramond"/>
          <w:b/>
          <w:sz w:val="22"/>
          <w:lang w:val="en-GB"/>
        </w:rPr>
      </w:pPr>
    </w:p>
    <w:p w14:paraId="3F2F9662" w14:textId="77777777" w:rsidR="00804602" w:rsidRPr="00804602" w:rsidRDefault="00804602" w:rsidP="00246A09">
      <w:pPr>
        <w:spacing w:after="0"/>
        <w:rPr>
          <w:rFonts w:ascii="AGaramond" w:hAnsi="AGaramond"/>
          <w:b/>
          <w:sz w:val="22"/>
          <w:lang w:val="en-GB"/>
        </w:rPr>
      </w:pPr>
      <w:r w:rsidRPr="00804602">
        <w:rPr>
          <w:rFonts w:ascii="AGaramond" w:hAnsi="AGaramond"/>
          <w:b/>
          <w:sz w:val="22"/>
          <w:lang w:val="en-GB"/>
        </w:rPr>
        <w:t xml:space="preserve">4 </w:t>
      </w:r>
    </w:p>
    <w:p w14:paraId="1FA90F9C" w14:textId="77777777" w:rsidR="00804602" w:rsidRPr="00804602" w:rsidRDefault="00804602" w:rsidP="00384670">
      <w:pPr>
        <w:spacing w:after="0"/>
        <w:rPr>
          <w:rFonts w:ascii="AGaramond" w:hAnsi="AGaramond"/>
          <w:sz w:val="22"/>
          <w:lang w:val="en-GB"/>
        </w:rPr>
      </w:pPr>
      <w:r w:rsidRPr="00804602">
        <w:rPr>
          <w:rFonts w:ascii="AGaramond" w:hAnsi="AGaramond"/>
          <w:sz w:val="22"/>
          <w:lang w:val="en-GB"/>
        </w:rPr>
        <w:t>Recall Guattari’s two modalities of enunciation. He distinguishes them in order to capture the very different modes by which architecture operates. Having discussed the polyphonic modality, let us now move on to the ethico-aesthetic. For Guattari, it is the architect’s role to compose ‘spatialized affects’. A spatialized affect is not something one can draw or measure; it is not extensional or susceptible to be numbered, nor something the architect can clearly determine. In Guattari’s terms, an affect is ‘</w:t>
      </w:r>
      <w:r w:rsidRPr="00804602">
        <w:rPr>
          <w:rFonts w:ascii="AGaramond" w:hAnsi="AGaramond"/>
          <w:sz w:val="22"/>
        </w:rPr>
        <w:t>a pre-personal category, installed before the circumscription of identities’.</w:t>
      </w:r>
      <w:r w:rsidRPr="00804602">
        <w:rPr>
          <w:rStyle w:val="FootnoteReference"/>
          <w:rFonts w:ascii="AGaramond" w:hAnsi="AGaramond"/>
          <w:sz w:val="22"/>
          <w:lang w:val="en-GB"/>
        </w:rPr>
        <w:footnoteReference w:id="16"/>
      </w:r>
      <w:r w:rsidRPr="00804602">
        <w:rPr>
          <w:rFonts w:ascii="AGaramond" w:hAnsi="AGaramond"/>
          <w:sz w:val="22"/>
          <w:lang w:val="en-GB"/>
        </w:rPr>
        <w:t xml:space="preserve"> A spatialized effect, therefore, corresponds to relations established through architecture – and by this we mean both through the drawing or the built object – such as the creation of an ambience, the unleashing of architectural imaginations, the producing of a sense of intimacy or feelings of repulsion. For Guattari, through learning from one’s experience of spaces and the way they act upon us, the architect is able to </w:t>
      </w:r>
      <w:r w:rsidRPr="00804602">
        <w:rPr>
          <w:rFonts w:ascii="AGaramond" w:hAnsi="AGaramond"/>
          <w:i/>
          <w:sz w:val="22"/>
          <w:lang w:val="en-GB"/>
        </w:rPr>
        <w:t>compose</w:t>
      </w:r>
      <w:r w:rsidRPr="00804602">
        <w:rPr>
          <w:rFonts w:ascii="AGaramond" w:hAnsi="AGaramond"/>
          <w:sz w:val="22"/>
          <w:lang w:val="en-GB"/>
        </w:rPr>
        <w:t xml:space="preserve">, or at least not to block, a series of spatialized affects. Importantly, it is not simply that the architect </w:t>
      </w:r>
      <w:r w:rsidRPr="00804602">
        <w:rPr>
          <w:rFonts w:ascii="AGaramond" w:hAnsi="AGaramond"/>
          <w:i/>
          <w:sz w:val="22"/>
          <w:lang w:val="en-GB"/>
        </w:rPr>
        <w:t>composes</w:t>
      </w:r>
      <w:r w:rsidRPr="00804602">
        <w:rPr>
          <w:rFonts w:ascii="AGaramond" w:hAnsi="AGaramond"/>
          <w:sz w:val="22"/>
          <w:lang w:val="en-GB"/>
        </w:rPr>
        <w:t xml:space="preserve">, in the modern sense of the term. By composition, we mean </w:t>
      </w:r>
      <w:r w:rsidRPr="00804602">
        <w:rPr>
          <w:rFonts w:ascii="AGaramond" w:hAnsi="AGaramond"/>
          <w:i/>
          <w:sz w:val="22"/>
          <w:lang w:val="en-GB"/>
        </w:rPr>
        <w:t>entering into composition with</w:t>
      </w:r>
      <w:r w:rsidRPr="00804602">
        <w:rPr>
          <w:rFonts w:ascii="AGaramond" w:hAnsi="AGaramond"/>
          <w:sz w:val="22"/>
          <w:lang w:val="en-GB"/>
        </w:rPr>
        <w:t xml:space="preserve"> – allowing oneself to be traversed by a collective subjectivity.</w:t>
      </w:r>
      <w:r w:rsidRPr="00804602">
        <w:rPr>
          <w:rStyle w:val="FootnoteReference"/>
          <w:rFonts w:ascii="AGaramond" w:hAnsi="AGaramond"/>
          <w:sz w:val="22"/>
          <w:lang w:val="en-GB"/>
        </w:rPr>
        <w:footnoteReference w:id="17"/>
      </w:r>
    </w:p>
    <w:p w14:paraId="33C89DA1" w14:textId="77777777" w:rsidR="00804602" w:rsidRPr="00804602" w:rsidRDefault="00804602" w:rsidP="00763AD2">
      <w:pPr>
        <w:spacing w:after="0"/>
        <w:rPr>
          <w:rFonts w:ascii="AGaramond" w:hAnsi="AGaramond"/>
          <w:sz w:val="22"/>
          <w:szCs w:val="20"/>
        </w:rPr>
      </w:pPr>
    </w:p>
    <w:p w14:paraId="3253E7AE" w14:textId="77777777" w:rsidR="00804602" w:rsidRPr="00804602" w:rsidRDefault="00804602" w:rsidP="00763AD2">
      <w:pPr>
        <w:spacing w:after="0"/>
        <w:rPr>
          <w:rFonts w:ascii="AGaramond" w:hAnsi="AGaramond"/>
          <w:sz w:val="22"/>
          <w:szCs w:val="20"/>
        </w:rPr>
      </w:pPr>
      <w:r w:rsidRPr="00804602">
        <w:rPr>
          <w:rFonts w:ascii="AGaramond" w:hAnsi="AGaramond"/>
          <w:sz w:val="22"/>
          <w:szCs w:val="20"/>
        </w:rPr>
        <w:t xml:space="preserve">Let us return to Webb’s Red House corridors. As noted by Evans, these imply ideas of privacy and class difference resulting from the separation in plan between a circulation space and a private space. But the corridors did more than imply this: they actually promoted these as sensations. The reason for this is that the simple introduction of a door, for example, might promote curiosity when left ajar or powerlessness when one has to ask for permission to enter. The corridor itself, in its lack of other apparent purpose, reinforces feelings of efficiency and organization in daily life. </w:t>
      </w:r>
      <w:r w:rsidRPr="00804602">
        <w:rPr>
          <w:rFonts w:ascii="AGaramond" w:hAnsi="AGaramond"/>
          <w:sz w:val="22"/>
          <w:lang w:val="en-GB"/>
        </w:rPr>
        <w:t xml:space="preserve">If we follow the tradition of certain architectural historiography, we find that so much attention is devoted to what architectural forms or signs mean. </w:t>
      </w:r>
      <w:r w:rsidRPr="00804602">
        <w:rPr>
          <w:rFonts w:ascii="AGaramond" w:hAnsi="AGaramond"/>
          <w:sz w:val="22"/>
          <w:szCs w:val="20"/>
        </w:rPr>
        <w:t xml:space="preserve">The way in which the corridor articulates relations of privacy, however, is not a matter of representation or signification: the corridor’s shape or size does not communicate the feeling of intrusion that is induced by the opening of a closed door and nor does it represent the sensation of moving through it at night. The same type of operation – even if with different social consequences – happens when bringing the kitchen to the ground floor. It is not the symbolic dimension of this gesture but the daily repetition of movements – no more heading underground, to an inferior space – that directly affects modes of inhabitation. This simple assertion </w:t>
      </w:r>
      <w:r w:rsidRPr="00804602">
        <w:rPr>
          <w:rFonts w:ascii="AGaramond" w:hAnsi="AGaramond"/>
          <w:sz w:val="22"/>
          <w:lang w:val="en-GB"/>
        </w:rPr>
        <w:t xml:space="preserve">takes us to a key point in Guattari’s thought, which is </w:t>
      </w:r>
      <w:r w:rsidRPr="00804602">
        <w:rPr>
          <w:rFonts w:ascii="AGaramond" w:hAnsi="AGaramond"/>
          <w:sz w:val="22"/>
          <w:szCs w:val="20"/>
        </w:rPr>
        <w:t>that spatialized affects are a-signifying:</w:t>
      </w:r>
      <w:r w:rsidRPr="00804602">
        <w:rPr>
          <w:rStyle w:val="FootnoteReference"/>
          <w:rFonts w:ascii="AGaramond" w:hAnsi="AGaramond"/>
          <w:sz w:val="22"/>
          <w:szCs w:val="20"/>
        </w:rPr>
        <w:footnoteReference w:id="18"/>
      </w:r>
      <w:r w:rsidRPr="00804602">
        <w:rPr>
          <w:rFonts w:ascii="AGaramond" w:hAnsi="AGaramond"/>
          <w:sz w:val="22"/>
          <w:szCs w:val="20"/>
        </w:rPr>
        <w:t xml:space="preserve"> regardless of the motives behind design options, spatialized affects consist of pre-personal and pre-signifying relations between bodies. The moving of the kitchen perhaps symbolizes something but how it affects bodies does not.</w:t>
      </w:r>
    </w:p>
    <w:p w14:paraId="57EBCEE8" w14:textId="77777777" w:rsidR="00804602" w:rsidRPr="00804602" w:rsidRDefault="00804602" w:rsidP="00F449BD">
      <w:pPr>
        <w:spacing w:beforeLines="1" w:before="2" w:afterLines="1" w:after="2"/>
        <w:rPr>
          <w:rFonts w:ascii="AGaramond" w:hAnsi="AGaramond"/>
          <w:sz w:val="22"/>
          <w:lang w:val="en-GB"/>
        </w:rPr>
      </w:pPr>
    </w:p>
    <w:p w14:paraId="0C6D8C2D" w14:textId="77777777" w:rsidR="00804602" w:rsidRPr="00804602" w:rsidRDefault="00804602" w:rsidP="00F449BD">
      <w:pPr>
        <w:spacing w:beforeLines="1" w:before="2" w:afterLines="1" w:after="2"/>
        <w:rPr>
          <w:rFonts w:ascii="AGaramond" w:hAnsi="AGaramond"/>
          <w:sz w:val="22"/>
          <w:lang w:val="en-GB"/>
        </w:rPr>
      </w:pPr>
    </w:p>
    <w:p w14:paraId="61A7516B" w14:textId="77777777" w:rsidR="00804602" w:rsidRPr="00804602" w:rsidRDefault="00804602" w:rsidP="00F449BD">
      <w:pPr>
        <w:spacing w:beforeLines="1" w:before="2" w:afterLines="1" w:after="2"/>
        <w:rPr>
          <w:rFonts w:ascii="AGaramond" w:hAnsi="AGaramond"/>
          <w:sz w:val="22"/>
          <w:lang w:val="en-GB"/>
        </w:rPr>
      </w:pPr>
      <w:r w:rsidRPr="00804602">
        <w:rPr>
          <w:rFonts w:ascii="AGaramond" w:hAnsi="AGaramond"/>
          <w:sz w:val="22"/>
          <w:lang w:val="en-GB"/>
        </w:rPr>
        <w:t xml:space="preserve">Let us take a second example, focusing on the design of Morris’s wallpapers. At dawn the multi-colored lights coming through the stained glass windows and shining upon the wallpaper might cause a child to have fear, or elicit a sensation of melancholia that is exclusive to that time of the day. The lining of entire rooms with floral motifs and textures might directly affect sensations of comfort or claustrophobia. Architecture is full of such refrains that, day after day, allow the constitution of existential territories. And most of these are not even conscious; they are simply working on us, in the background of our attention. Staircases are particularly powerful sites in the multiple ways they act upon bodies, from determining movements to composing lines of sight. In the Red House, the staircase occupies a central role, articulating the key circulations and open to the sunny courtyard. It is </w:t>
      </w:r>
      <w:r w:rsidRPr="00804602">
        <w:rPr>
          <w:rFonts w:ascii="AGaramond" w:hAnsi="AGaramond"/>
          <w:i/>
          <w:sz w:val="22"/>
          <w:lang w:val="en-GB"/>
        </w:rPr>
        <w:t>frequency</w:t>
      </w:r>
      <w:r w:rsidRPr="00804602">
        <w:rPr>
          <w:rFonts w:ascii="AGaramond" w:hAnsi="AGaramond"/>
          <w:sz w:val="22"/>
          <w:lang w:val="en-GB"/>
        </w:rPr>
        <w:t xml:space="preserve"> and </w:t>
      </w:r>
      <w:r w:rsidRPr="00804602">
        <w:rPr>
          <w:rFonts w:ascii="AGaramond" w:hAnsi="AGaramond"/>
          <w:i/>
          <w:sz w:val="22"/>
          <w:lang w:val="en-GB"/>
        </w:rPr>
        <w:t>resonance</w:t>
      </w:r>
      <w:r w:rsidRPr="00804602">
        <w:rPr>
          <w:rFonts w:ascii="AGaramond" w:hAnsi="AGaramond"/>
          <w:sz w:val="22"/>
          <w:lang w:val="en-GB"/>
        </w:rPr>
        <w:t xml:space="preserve"> that is at work in a-signifying affects: the repetition of a certain view or movement, and the catalytic capacity of certain ambiences or atmospheres. Spatialized affects are not a direct result of a particular style, but of how that style promotes certain kinds of sensation. They result from expressive components that are decoupled from the overall object and enter into unpredictable relations. </w:t>
      </w:r>
    </w:p>
    <w:p w14:paraId="6AEB631D" w14:textId="77777777" w:rsidR="00804602" w:rsidRPr="00804602" w:rsidRDefault="00804602" w:rsidP="00763AD2">
      <w:pPr>
        <w:spacing w:after="0"/>
        <w:rPr>
          <w:rFonts w:ascii="AGaramond" w:hAnsi="AGaramond"/>
          <w:sz w:val="22"/>
          <w:szCs w:val="20"/>
        </w:rPr>
      </w:pPr>
    </w:p>
    <w:p w14:paraId="6346494B" w14:textId="77777777" w:rsidR="00804602" w:rsidRPr="00804602" w:rsidRDefault="00804602" w:rsidP="00763AD2">
      <w:pPr>
        <w:spacing w:after="0"/>
        <w:rPr>
          <w:rFonts w:ascii="AGaramond" w:hAnsi="AGaramond"/>
          <w:sz w:val="22"/>
          <w:lang w:val="en-GB"/>
        </w:rPr>
      </w:pPr>
      <w:r w:rsidRPr="00804602">
        <w:rPr>
          <w:rFonts w:ascii="AGaramond" w:hAnsi="AGaramond"/>
          <w:sz w:val="22"/>
          <w:szCs w:val="20"/>
        </w:rPr>
        <w:t>Any project</w:t>
      </w:r>
      <w:r w:rsidRPr="00804602">
        <w:rPr>
          <w:rFonts w:ascii="AGaramond" w:hAnsi="AGaramond"/>
          <w:sz w:val="22"/>
          <w:lang w:val="en-GB"/>
        </w:rPr>
        <w:t xml:space="preserve"> implies the orchestration of a multiplicity of voices or modes of expression. But the importance of this lies not only in recognizing their existence and the multiplicity of what is being expressed through architecture but also in the fact that these voices allow the catalyzing of multiple spatialized affects. In other words, architecture operates both through expressive materials (signs that have indexical, signifying or communicational capacities) </w:t>
      </w:r>
      <w:r w:rsidRPr="00804602">
        <w:rPr>
          <w:rFonts w:ascii="AGaramond" w:hAnsi="AGaramond"/>
          <w:i/>
          <w:sz w:val="22"/>
          <w:lang w:val="en-GB"/>
        </w:rPr>
        <w:t>and</w:t>
      </w:r>
      <w:r w:rsidRPr="00804602">
        <w:rPr>
          <w:rFonts w:ascii="AGaramond" w:hAnsi="AGaramond"/>
          <w:sz w:val="22"/>
          <w:lang w:val="en-GB"/>
        </w:rPr>
        <w:t xml:space="preserve"> through spatialized affects, which are inseparable and yet independent from these expressive materials. Consider for instance religious or ritual events, where objects such as relics or icons catalyze processes of ecstasy or collective delirium: an icon in a Catholic church is an expressive component that belongs, in Guattari’s terminology, to a signifying assemblage of enunciation. However, the icon does not simply </w:t>
      </w:r>
      <w:r w:rsidRPr="00804602">
        <w:rPr>
          <w:rFonts w:ascii="AGaramond" w:hAnsi="AGaramond"/>
          <w:i/>
          <w:sz w:val="22"/>
          <w:lang w:val="en-GB"/>
        </w:rPr>
        <w:t>signify</w:t>
      </w:r>
      <w:r w:rsidRPr="00804602">
        <w:rPr>
          <w:rFonts w:ascii="AGaramond" w:hAnsi="AGaramond"/>
          <w:sz w:val="22"/>
          <w:lang w:val="en-GB"/>
        </w:rPr>
        <w:t xml:space="preserve"> or </w:t>
      </w:r>
      <w:r w:rsidRPr="00804602">
        <w:rPr>
          <w:rFonts w:ascii="AGaramond" w:hAnsi="AGaramond"/>
          <w:i/>
          <w:sz w:val="22"/>
          <w:lang w:val="en-GB"/>
        </w:rPr>
        <w:t>represent</w:t>
      </w:r>
      <w:r w:rsidRPr="00804602">
        <w:rPr>
          <w:rFonts w:ascii="AGaramond" w:hAnsi="AGaramond"/>
          <w:sz w:val="22"/>
          <w:lang w:val="en-GB"/>
        </w:rPr>
        <w:t xml:space="preserve"> a saint. More than that, it also potentially opens ‘a territory of enunciation to a believer, making her enter into direct communication with the Saint’.</w:t>
      </w:r>
      <w:r w:rsidRPr="00804602">
        <w:rPr>
          <w:rStyle w:val="FootnoteReference"/>
          <w:rFonts w:ascii="AGaramond" w:hAnsi="AGaramond"/>
          <w:sz w:val="22"/>
          <w:lang w:val="en-GB"/>
        </w:rPr>
        <w:footnoteReference w:id="19"/>
      </w:r>
      <w:r w:rsidRPr="00804602">
        <w:rPr>
          <w:rFonts w:ascii="AGaramond" w:hAnsi="AGaramond"/>
          <w:sz w:val="22"/>
          <w:lang w:val="en-GB"/>
        </w:rPr>
        <w:t xml:space="preserve"> Importantly, the opening up of a territory of enunciation is not a matter of signification – it is a matter of architecture, through spatialized </w:t>
      </w:r>
      <w:r w:rsidRPr="00804602">
        <w:rPr>
          <w:rFonts w:ascii="AGaramond" w:hAnsi="AGaramond"/>
          <w:sz w:val="22"/>
          <w:lang w:val="en-GB"/>
        </w:rPr>
        <w:lastRenderedPageBreak/>
        <w:t xml:space="preserve">affects, being able to operate as a catalyst for existential processes. That such processes cannot be predicted does not diminish the intentionality of their composition. Contrary to architectural theory’s habit of focusing on what icons mean or try to communicate, here we speak of a displacement of the focus from what is being represented to what enunciations a certain representation, within a specific pragmatic context, opens up. What spaces represent matters, but what both spaces and representations </w:t>
      </w:r>
      <w:r w:rsidRPr="00804602">
        <w:rPr>
          <w:rFonts w:ascii="AGaramond" w:hAnsi="AGaramond"/>
          <w:i/>
          <w:sz w:val="22"/>
          <w:lang w:val="en-GB"/>
        </w:rPr>
        <w:t xml:space="preserve">do </w:t>
      </w:r>
      <w:r w:rsidRPr="00804602">
        <w:rPr>
          <w:rFonts w:ascii="AGaramond" w:hAnsi="AGaramond"/>
          <w:sz w:val="22"/>
          <w:lang w:val="en-GB"/>
        </w:rPr>
        <w:t>or</w:t>
      </w:r>
      <w:r w:rsidRPr="00804602">
        <w:rPr>
          <w:rFonts w:ascii="AGaramond" w:hAnsi="AGaramond"/>
          <w:i/>
          <w:sz w:val="22"/>
          <w:lang w:val="en-GB"/>
        </w:rPr>
        <w:t xml:space="preserve"> catalyze</w:t>
      </w:r>
      <w:r w:rsidRPr="00804602">
        <w:rPr>
          <w:rFonts w:ascii="AGaramond" w:hAnsi="AGaramond"/>
          <w:sz w:val="22"/>
          <w:lang w:val="en-GB"/>
        </w:rPr>
        <w:t xml:space="preserve"> matters even more.</w:t>
      </w:r>
    </w:p>
    <w:p w14:paraId="1A76A288" w14:textId="77777777" w:rsidR="00804602" w:rsidRPr="00804602" w:rsidRDefault="00804602" w:rsidP="00763AD2">
      <w:pPr>
        <w:spacing w:after="0"/>
        <w:rPr>
          <w:rFonts w:ascii="AGaramond" w:hAnsi="AGaramond"/>
          <w:sz w:val="22"/>
          <w:lang w:val="en-GB"/>
        </w:rPr>
      </w:pPr>
    </w:p>
    <w:p w14:paraId="5445FE8B" w14:textId="77777777" w:rsidR="00804602" w:rsidRPr="00804602" w:rsidRDefault="00804602" w:rsidP="00763AD2">
      <w:pPr>
        <w:spacing w:after="0"/>
        <w:rPr>
          <w:rFonts w:ascii="AGaramond" w:hAnsi="AGaramond"/>
          <w:sz w:val="22"/>
          <w:lang w:val="en-GB"/>
        </w:rPr>
      </w:pPr>
      <w:r w:rsidRPr="00804602">
        <w:rPr>
          <w:rFonts w:ascii="AGaramond" w:hAnsi="AGaramond"/>
          <w:sz w:val="22"/>
          <w:lang w:val="en-GB"/>
        </w:rPr>
        <w:t xml:space="preserve">We come then to the understanding that affects, conceptualized as a-signifying relations, are essential for capturing the multiple ways in which architecture acts in the world. In particular, they are indispensable when constructing a political critique of architecture, as so much of what architecture does results from aspects of the design that have neither symbolic nor representational dimensions (the dimension of a turnstile in a border, the change of thickness in a passageway, the color of corridors might, under certain circumstances, contribute to the production of immensely violent spatialized affects in the context of a detention center); and even all those aspects that do have a signifying dimension, from icons to advertising logos, are equally operating at the level of affect and in ways that are not necessarily related to their represented content. Thus, the fact that what architecture expresses and how it acts upon us are </w:t>
      </w:r>
      <w:r w:rsidRPr="00804602">
        <w:rPr>
          <w:rFonts w:ascii="AGaramond" w:hAnsi="AGaramond"/>
          <w:i/>
          <w:sz w:val="22"/>
          <w:lang w:val="en-GB"/>
        </w:rPr>
        <w:t>inseparable and yet independent</w:t>
      </w:r>
      <w:r w:rsidRPr="00804602">
        <w:rPr>
          <w:rFonts w:ascii="AGaramond" w:hAnsi="AGaramond"/>
          <w:sz w:val="22"/>
          <w:lang w:val="en-GB"/>
        </w:rPr>
        <w:t xml:space="preserve"> processes allows us to grasp how it is often deployed to other ends than those clearly expressed in the drawing.</w:t>
      </w:r>
      <w:r w:rsidRPr="00804602">
        <w:rPr>
          <w:rStyle w:val="FootnoteReference"/>
          <w:rFonts w:ascii="AGaramond" w:hAnsi="AGaramond"/>
          <w:sz w:val="22"/>
          <w:lang w:val="en-GB"/>
        </w:rPr>
        <w:t xml:space="preserve"> </w:t>
      </w:r>
      <w:r w:rsidRPr="00804602">
        <w:rPr>
          <w:rStyle w:val="FootnoteReference"/>
          <w:rFonts w:ascii="AGaramond" w:hAnsi="AGaramond"/>
          <w:sz w:val="22"/>
          <w:lang w:val="en-GB"/>
        </w:rPr>
        <w:footnoteReference w:id="20"/>
      </w:r>
      <w:r w:rsidRPr="00804602">
        <w:rPr>
          <w:rFonts w:ascii="AGaramond" w:hAnsi="AGaramond"/>
          <w:sz w:val="22"/>
          <w:lang w:val="en-GB"/>
        </w:rPr>
        <w:t xml:space="preserve"> </w:t>
      </w:r>
    </w:p>
    <w:p w14:paraId="1C42EABF" w14:textId="77777777" w:rsidR="00804602" w:rsidRPr="00804602" w:rsidRDefault="00804602" w:rsidP="00763AD2">
      <w:pPr>
        <w:spacing w:after="0"/>
        <w:rPr>
          <w:rFonts w:ascii="AGaramond" w:hAnsi="AGaramond"/>
          <w:sz w:val="22"/>
          <w:szCs w:val="20"/>
        </w:rPr>
      </w:pPr>
    </w:p>
    <w:p w14:paraId="4E346978" w14:textId="77777777" w:rsidR="00804602" w:rsidRPr="00804602" w:rsidRDefault="00804602" w:rsidP="00786B11">
      <w:pPr>
        <w:widowControl w:val="0"/>
        <w:autoSpaceDE w:val="0"/>
        <w:autoSpaceDN w:val="0"/>
        <w:adjustRightInd w:val="0"/>
        <w:spacing w:after="0"/>
        <w:rPr>
          <w:rFonts w:ascii="AGaramond" w:hAnsi="AGaramond"/>
          <w:sz w:val="18"/>
          <w:lang w:val="en-GB"/>
        </w:rPr>
      </w:pPr>
      <w:r w:rsidRPr="00804602">
        <w:rPr>
          <w:rFonts w:ascii="AGaramond" w:hAnsi="AGaramond"/>
          <w:noProof/>
          <w:sz w:val="18"/>
        </w:rPr>
        <w:lastRenderedPageBreak/>
        <w:drawing>
          <wp:inline distT="0" distB="0" distL="0" distR="0" wp14:anchorId="16456826" wp14:editId="7FB948B3">
            <wp:extent cx="5270500" cy="6343650"/>
            <wp:effectExtent l="25400" t="0" r="0" b="0"/>
            <wp:docPr id="6" name="Picture 2" descr="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jpg"/>
                    <pic:cNvPicPr/>
                  </pic:nvPicPr>
                  <pic:blipFill>
                    <a:blip r:embed="rId9"/>
                    <a:stretch>
                      <a:fillRect/>
                    </a:stretch>
                  </pic:blipFill>
                  <pic:spPr>
                    <a:xfrm>
                      <a:off x="0" y="0"/>
                      <a:ext cx="5270500" cy="6343650"/>
                    </a:xfrm>
                    <a:prstGeom prst="rect">
                      <a:avLst/>
                    </a:prstGeom>
                  </pic:spPr>
                </pic:pic>
              </a:graphicData>
            </a:graphic>
          </wp:inline>
        </w:drawing>
      </w:r>
    </w:p>
    <w:p w14:paraId="4BBEF064" w14:textId="77777777" w:rsidR="00804602" w:rsidRPr="00804602" w:rsidRDefault="00804602" w:rsidP="00786B11">
      <w:pPr>
        <w:widowControl w:val="0"/>
        <w:autoSpaceDE w:val="0"/>
        <w:autoSpaceDN w:val="0"/>
        <w:adjustRightInd w:val="0"/>
        <w:spacing w:after="0"/>
        <w:rPr>
          <w:rFonts w:ascii="AGaramond" w:hAnsi="AGaramond" w:cs="Times New Roman"/>
          <w:sz w:val="16"/>
          <w:szCs w:val="16"/>
        </w:rPr>
      </w:pPr>
      <w:r w:rsidRPr="00804602">
        <w:rPr>
          <w:rFonts w:ascii="AGaramond" w:hAnsi="AGaramond" w:cs="Times New Roman"/>
          <w:sz w:val="16"/>
          <w:szCs w:val="16"/>
        </w:rPr>
        <w:t xml:space="preserve">'Trellis' wallpaper pattern, thorned rose bush, with red flowers, growing on a wooden trellis, with birds and flying insects, with a pale blue ground; Block-printed in distemper colours, on paper; Inscribed in ink on the back 'Trellis 9 / 8/8'; The first paper designed by William Morris, but the third to be issued; The birds were designed by Philip Webb; Part of 'Volume 1', a pattern book containing 25 Morris &amp; Co. patterns from 1862-81 (E.441-529-1919); England; Designed 1862; Registered and produced 1864. Given by Morris &amp; Co. </w:t>
      </w:r>
      <w:r w:rsidRPr="00804602">
        <w:rPr>
          <w:rStyle w:val="Strong"/>
          <w:rFonts w:ascii="AGaramond" w:hAnsi="AGaramond"/>
          <w:b w:val="0"/>
          <w:sz w:val="16"/>
        </w:rPr>
        <w:t>© Victoria and Albert Museum, London</w:t>
      </w:r>
    </w:p>
    <w:p w14:paraId="77191753" w14:textId="77777777" w:rsidR="00804602" w:rsidRDefault="00804602" w:rsidP="00763AD2">
      <w:pPr>
        <w:spacing w:after="0"/>
        <w:rPr>
          <w:rFonts w:ascii="AGaramond" w:hAnsi="AGaramond"/>
          <w:sz w:val="22"/>
          <w:szCs w:val="20"/>
        </w:rPr>
      </w:pPr>
    </w:p>
    <w:p w14:paraId="18A0B3AE" w14:textId="77777777" w:rsidR="00804602" w:rsidRPr="00804602" w:rsidRDefault="00804602" w:rsidP="00763AD2">
      <w:pPr>
        <w:spacing w:after="0"/>
        <w:rPr>
          <w:rFonts w:ascii="AGaramond" w:hAnsi="AGaramond"/>
          <w:sz w:val="22"/>
          <w:szCs w:val="20"/>
        </w:rPr>
      </w:pPr>
    </w:p>
    <w:p w14:paraId="6819DCAC" w14:textId="77777777" w:rsidR="003C072E" w:rsidRPr="00804602" w:rsidRDefault="00804602" w:rsidP="00763AD2">
      <w:pPr>
        <w:spacing w:after="0"/>
        <w:rPr>
          <w:rFonts w:ascii="AGaramond" w:hAnsi="AGaramond"/>
          <w:sz w:val="22"/>
          <w:lang w:val="en-GB"/>
        </w:rPr>
      </w:pPr>
      <w:r w:rsidRPr="00804602">
        <w:rPr>
          <w:rFonts w:ascii="AGaramond" w:hAnsi="AGaramond"/>
          <w:sz w:val="22"/>
          <w:szCs w:val="20"/>
        </w:rPr>
        <w:t xml:space="preserve">We can understand now </w:t>
      </w:r>
      <w:r w:rsidRPr="00804602">
        <w:rPr>
          <w:rFonts w:ascii="AGaramond" w:hAnsi="AGaramond"/>
          <w:sz w:val="22"/>
          <w:lang w:val="en-GB"/>
        </w:rPr>
        <w:t>the ethico-aesthetic dimension of enunciation (and of the project): it is a matter of composing expressive components (aesthetics) in ways that open up a series of existential territories and spatialized affects. In Guattari’s texts, this is typically presented in a positive light: ‘It is up to the architect, if not to compose all these fragmentary components of subjectification harmoniously, at least not mutilate the essentials of their virtualities in advance’.</w:t>
      </w:r>
      <w:r w:rsidRPr="00804602">
        <w:rPr>
          <w:rStyle w:val="FootnoteReference"/>
          <w:rFonts w:ascii="AGaramond" w:hAnsi="AGaramond"/>
          <w:sz w:val="22"/>
          <w:lang w:val="en-GB"/>
        </w:rPr>
        <w:footnoteReference w:id="21"/>
      </w:r>
      <w:r w:rsidRPr="00804602">
        <w:rPr>
          <w:rFonts w:ascii="AGaramond" w:hAnsi="AGaramond"/>
          <w:sz w:val="22"/>
          <w:lang w:val="en-GB"/>
        </w:rPr>
        <w:t xml:space="preserve"> </w:t>
      </w:r>
      <w:r w:rsidR="00B10D79" w:rsidRPr="00804602">
        <w:rPr>
          <w:rFonts w:ascii="AGaramond" w:hAnsi="AGaramond"/>
          <w:sz w:val="22"/>
          <w:lang w:val="en-GB"/>
        </w:rPr>
        <w:t xml:space="preserve">But </w:t>
      </w:r>
      <w:r w:rsidR="00C644F8" w:rsidRPr="00804602">
        <w:rPr>
          <w:rFonts w:ascii="AGaramond" w:hAnsi="AGaramond"/>
          <w:sz w:val="22"/>
          <w:lang w:val="en-GB"/>
        </w:rPr>
        <w:t xml:space="preserve">from the example above </w:t>
      </w:r>
      <w:r w:rsidR="00B10D79" w:rsidRPr="00804602">
        <w:rPr>
          <w:rFonts w:ascii="AGaramond" w:hAnsi="AGaramond"/>
          <w:sz w:val="22"/>
          <w:lang w:val="en-GB"/>
        </w:rPr>
        <w:t xml:space="preserve">we can see how this refers as well to the catalyzing </w:t>
      </w:r>
      <w:r w:rsidR="00961911" w:rsidRPr="00804602">
        <w:rPr>
          <w:rFonts w:ascii="AGaramond" w:hAnsi="AGaramond"/>
          <w:sz w:val="22"/>
          <w:lang w:val="en-GB"/>
        </w:rPr>
        <w:t xml:space="preserve">of </w:t>
      </w:r>
      <w:r w:rsidR="00B10D79" w:rsidRPr="00804602">
        <w:rPr>
          <w:rFonts w:ascii="AGaramond" w:hAnsi="AGaramond"/>
          <w:sz w:val="22"/>
          <w:lang w:val="en-GB"/>
        </w:rPr>
        <w:t xml:space="preserve">a series of negative reactions, such as the famous internalization of control in Bentham’s panopticon or the promotion of social hierarchies in the Red House’s corridors. </w:t>
      </w:r>
      <w:r w:rsidR="003B6947" w:rsidRPr="00804602">
        <w:rPr>
          <w:rFonts w:ascii="AGaramond" w:hAnsi="AGaramond"/>
          <w:sz w:val="22"/>
          <w:lang w:val="en-GB"/>
        </w:rPr>
        <w:t>T</w:t>
      </w:r>
      <w:r w:rsidR="00B10D79" w:rsidRPr="00804602">
        <w:rPr>
          <w:rFonts w:ascii="AGaramond" w:hAnsi="AGaramond"/>
          <w:sz w:val="22"/>
          <w:lang w:val="en-GB"/>
        </w:rPr>
        <w:t xml:space="preserve">he fact that architecture is not a matter of exactly predicting consequences does not mean that the </w:t>
      </w:r>
      <w:r w:rsidR="00C762AC" w:rsidRPr="00804602">
        <w:rPr>
          <w:rFonts w:ascii="AGaramond" w:hAnsi="AGaramond"/>
          <w:sz w:val="22"/>
          <w:lang w:val="en-GB"/>
        </w:rPr>
        <w:t>composition</w:t>
      </w:r>
      <w:r w:rsidR="00C644F8" w:rsidRPr="00804602">
        <w:rPr>
          <w:rFonts w:ascii="AGaramond" w:hAnsi="AGaramond"/>
          <w:sz w:val="22"/>
          <w:lang w:val="en-GB"/>
        </w:rPr>
        <w:t xml:space="preserve"> of </w:t>
      </w:r>
      <w:r w:rsidR="00B10D79" w:rsidRPr="00804602">
        <w:rPr>
          <w:rFonts w:ascii="AGaramond" w:hAnsi="AGaramond"/>
          <w:sz w:val="22"/>
          <w:lang w:val="en-GB"/>
        </w:rPr>
        <w:t>spatial</w:t>
      </w:r>
      <w:r w:rsidR="00961911" w:rsidRPr="00804602">
        <w:rPr>
          <w:rFonts w:ascii="AGaramond" w:hAnsi="AGaramond"/>
          <w:sz w:val="22"/>
          <w:lang w:val="en-GB"/>
        </w:rPr>
        <w:t>iz</w:t>
      </w:r>
      <w:r w:rsidR="00C644F8" w:rsidRPr="00804602">
        <w:rPr>
          <w:rFonts w:ascii="AGaramond" w:hAnsi="AGaramond"/>
          <w:sz w:val="22"/>
          <w:lang w:val="en-GB"/>
        </w:rPr>
        <w:t>ed affects</w:t>
      </w:r>
      <w:r w:rsidR="00B10D79" w:rsidRPr="00804602">
        <w:rPr>
          <w:rFonts w:ascii="AGaramond" w:hAnsi="AGaramond"/>
          <w:sz w:val="22"/>
          <w:lang w:val="en-GB"/>
        </w:rPr>
        <w:t xml:space="preserve"> is not one of its key objectives</w:t>
      </w:r>
      <w:r w:rsidR="00DF648F" w:rsidRPr="00804602">
        <w:rPr>
          <w:rFonts w:ascii="AGaramond" w:hAnsi="AGaramond"/>
          <w:sz w:val="22"/>
          <w:lang w:val="en-GB"/>
        </w:rPr>
        <w:t>.</w:t>
      </w:r>
    </w:p>
    <w:p w14:paraId="433390BF" w14:textId="77777777" w:rsidR="00AF4DBA" w:rsidRPr="00804602" w:rsidRDefault="00AF4DBA" w:rsidP="00246A09">
      <w:pPr>
        <w:spacing w:after="0"/>
        <w:rPr>
          <w:rFonts w:ascii="AGaramond" w:hAnsi="AGaramond"/>
          <w:sz w:val="22"/>
          <w:lang w:val="en-GB"/>
        </w:rPr>
      </w:pPr>
    </w:p>
    <w:p w14:paraId="2C44B632" w14:textId="77777777" w:rsidR="00AF4DBA" w:rsidRPr="00804602" w:rsidRDefault="00AF4DBA" w:rsidP="00763AD2">
      <w:pPr>
        <w:widowControl w:val="0"/>
        <w:autoSpaceDE w:val="0"/>
        <w:autoSpaceDN w:val="0"/>
        <w:adjustRightInd w:val="0"/>
        <w:spacing w:after="0"/>
        <w:rPr>
          <w:rFonts w:ascii="AGaramond" w:hAnsi="AGaramond"/>
          <w:sz w:val="22"/>
          <w:lang w:val="en-GB"/>
        </w:rPr>
      </w:pPr>
    </w:p>
    <w:p w14:paraId="630E6897" w14:textId="77777777" w:rsidR="0031325E" w:rsidRPr="00804602" w:rsidRDefault="0031325E" w:rsidP="00246A09">
      <w:pPr>
        <w:spacing w:after="0"/>
        <w:rPr>
          <w:rFonts w:ascii="AGaramond" w:hAnsi="AGaramond"/>
          <w:sz w:val="22"/>
          <w:lang w:val="en-GB"/>
        </w:rPr>
      </w:pPr>
    </w:p>
    <w:p w14:paraId="3ACF4D2F" w14:textId="77777777" w:rsidR="00B337B6" w:rsidRPr="00804602" w:rsidRDefault="00437C7C" w:rsidP="00246A09">
      <w:pPr>
        <w:spacing w:after="0"/>
        <w:rPr>
          <w:rFonts w:ascii="AGaramond" w:hAnsi="AGaramond"/>
          <w:b/>
          <w:sz w:val="22"/>
          <w:lang w:val="en-GB"/>
        </w:rPr>
      </w:pPr>
      <w:r w:rsidRPr="00804602">
        <w:rPr>
          <w:rFonts w:ascii="AGaramond" w:hAnsi="AGaramond"/>
          <w:b/>
          <w:sz w:val="22"/>
          <w:lang w:val="en-GB"/>
        </w:rPr>
        <w:t>5</w:t>
      </w:r>
      <w:r w:rsidR="00456391" w:rsidRPr="00804602">
        <w:rPr>
          <w:rFonts w:ascii="AGaramond" w:hAnsi="AGaramond"/>
          <w:b/>
          <w:sz w:val="22"/>
          <w:lang w:val="en-GB"/>
        </w:rPr>
        <w:t xml:space="preserve"> </w:t>
      </w:r>
    </w:p>
    <w:p w14:paraId="3DD0E63B" w14:textId="77777777" w:rsidR="00EC2790" w:rsidRPr="00804602" w:rsidRDefault="00A74ED0" w:rsidP="00B335AF">
      <w:pPr>
        <w:spacing w:after="0"/>
        <w:rPr>
          <w:rFonts w:ascii="AGaramond" w:hAnsi="AGaramond"/>
          <w:sz w:val="22"/>
        </w:rPr>
      </w:pPr>
      <w:r w:rsidRPr="00804602">
        <w:rPr>
          <w:rFonts w:ascii="AGaramond" w:hAnsi="AGaramond"/>
          <w:sz w:val="22"/>
          <w:szCs w:val="20"/>
        </w:rPr>
        <w:t>In this essay</w:t>
      </w:r>
      <w:r w:rsidR="000629BF" w:rsidRPr="00804602">
        <w:rPr>
          <w:rFonts w:ascii="AGaramond" w:hAnsi="AGaramond"/>
          <w:sz w:val="22"/>
          <w:szCs w:val="20"/>
        </w:rPr>
        <w:t xml:space="preserve"> we</w:t>
      </w:r>
      <w:r w:rsidR="00870536" w:rsidRPr="00804602">
        <w:rPr>
          <w:rFonts w:ascii="AGaramond" w:hAnsi="AGaramond"/>
          <w:sz w:val="22"/>
          <w:szCs w:val="20"/>
        </w:rPr>
        <w:t xml:space="preserve"> have </w:t>
      </w:r>
      <w:r w:rsidR="000629BF" w:rsidRPr="00804602">
        <w:rPr>
          <w:rFonts w:ascii="AGaramond" w:hAnsi="AGaramond"/>
          <w:sz w:val="22"/>
          <w:szCs w:val="20"/>
        </w:rPr>
        <w:t xml:space="preserve">introduced </w:t>
      </w:r>
      <w:r w:rsidRPr="00804602">
        <w:rPr>
          <w:rFonts w:ascii="AGaramond" w:hAnsi="AGaramond"/>
          <w:sz w:val="22"/>
          <w:szCs w:val="20"/>
        </w:rPr>
        <w:t>Guattari’s</w:t>
      </w:r>
      <w:r w:rsidR="000629BF" w:rsidRPr="00804602">
        <w:rPr>
          <w:rFonts w:ascii="AGaramond" w:hAnsi="AGaramond"/>
          <w:sz w:val="22"/>
          <w:szCs w:val="20"/>
        </w:rPr>
        <w:t xml:space="preserve"> idea</w:t>
      </w:r>
      <w:r w:rsidR="00870536" w:rsidRPr="00804602">
        <w:rPr>
          <w:rFonts w:ascii="AGaramond" w:hAnsi="AGaramond"/>
          <w:sz w:val="22"/>
          <w:szCs w:val="20"/>
        </w:rPr>
        <w:t xml:space="preserve"> </w:t>
      </w:r>
      <w:r w:rsidR="000629BF" w:rsidRPr="00804602">
        <w:rPr>
          <w:rFonts w:ascii="AGaramond" w:hAnsi="AGaramond"/>
          <w:sz w:val="22"/>
          <w:szCs w:val="20"/>
        </w:rPr>
        <w:t>of</w:t>
      </w:r>
      <w:r w:rsidR="0096579C" w:rsidRPr="00804602">
        <w:rPr>
          <w:rFonts w:ascii="AGaramond" w:hAnsi="AGaramond"/>
          <w:sz w:val="22"/>
          <w:szCs w:val="20"/>
        </w:rPr>
        <w:t xml:space="preserve"> architectural enunciation </w:t>
      </w:r>
      <w:r w:rsidR="00C762AC" w:rsidRPr="00804602">
        <w:rPr>
          <w:rFonts w:ascii="AGaramond" w:hAnsi="AGaramond"/>
          <w:sz w:val="22"/>
          <w:szCs w:val="20"/>
        </w:rPr>
        <w:t>as an</w:t>
      </w:r>
      <w:r w:rsidR="008D124E" w:rsidRPr="00804602">
        <w:rPr>
          <w:rFonts w:ascii="AGaramond" w:hAnsi="AGaramond"/>
          <w:sz w:val="22"/>
          <w:szCs w:val="20"/>
        </w:rPr>
        <w:t xml:space="preserve"> entry point for an</w:t>
      </w:r>
      <w:r w:rsidR="00C762AC" w:rsidRPr="00804602">
        <w:rPr>
          <w:rFonts w:ascii="AGaramond" w:hAnsi="AGaramond"/>
          <w:sz w:val="22"/>
          <w:szCs w:val="20"/>
        </w:rPr>
        <w:t xml:space="preserve"> </w:t>
      </w:r>
      <w:r w:rsidR="00BC7283" w:rsidRPr="00804602">
        <w:rPr>
          <w:rFonts w:ascii="AGaramond" w:hAnsi="AGaramond"/>
          <w:sz w:val="22"/>
          <w:szCs w:val="20"/>
        </w:rPr>
        <w:t>alternative conceptual framework</w:t>
      </w:r>
      <w:r w:rsidR="00C762AC" w:rsidRPr="00804602">
        <w:rPr>
          <w:rFonts w:ascii="AGaramond" w:hAnsi="AGaramond"/>
          <w:sz w:val="22"/>
          <w:szCs w:val="20"/>
        </w:rPr>
        <w:t xml:space="preserve"> </w:t>
      </w:r>
      <w:r w:rsidR="00961911" w:rsidRPr="00804602">
        <w:rPr>
          <w:rFonts w:ascii="AGaramond" w:hAnsi="AGaramond"/>
          <w:sz w:val="22"/>
          <w:szCs w:val="20"/>
        </w:rPr>
        <w:t xml:space="preserve">with which </w:t>
      </w:r>
      <w:r w:rsidR="00C762AC" w:rsidRPr="00804602">
        <w:rPr>
          <w:rFonts w:ascii="AGaramond" w:hAnsi="AGaramond"/>
          <w:sz w:val="22"/>
          <w:szCs w:val="20"/>
        </w:rPr>
        <w:t>to</w:t>
      </w:r>
      <w:r w:rsidR="00C762AC" w:rsidRPr="00804602">
        <w:rPr>
          <w:rFonts w:ascii="AGaramond" w:hAnsi="AGaramond" w:cs="Times New Roman"/>
          <w:sz w:val="22"/>
          <w:szCs w:val="18"/>
        </w:rPr>
        <w:t xml:space="preserve"> grasp </w:t>
      </w:r>
      <w:r w:rsidR="00C644F8" w:rsidRPr="00804602">
        <w:rPr>
          <w:rFonts w:ascii="AGaramond" w:hAnsi="AGaramond" w:cs="Times New Roman"/>
          <w:sz w:val="22"/>
          <w:szCs w:val="18"/>
        </w:rPr>
        <w:t>the pragmatics of</w:t>
      </w:r>
      <w:r w:rsidR="00C762AC" w:rsidRPr="00804602">
        <w:rPr>
          <w:rFonts w:ascii="AGaramond" w:hAnsi="AGaramond" w:cs="Times New Roman"/>
          <w:sz w:val="22"/>
          <w:szCs w:val="18"/>
        </w:rPr>
        <w:t xml:space="preserve"> the project in architecture</w:t>
      </w:r>
      <w:r w:rsidR="000629BF" w:rsidRPr="00804602">
        <w:rPr>
          <w:rFonts w:ascii="AGaramond" w:hAnsi="AGaramond" w:cs="Times New Roman"/>
          <w:sz w:val="22"/>
          <w:szCs w:val="18"/>
        </w:rPr>
        <w:t xml:space="preserve">. </w:t>
      </w:r>
      <w:r w:rsidR="003C4455" w:rsidRPr="00804602">
        <w:rPr>
          <w:rFonts w:ascii="AGaramond" w:hAnsi="AGaramond" w:cs="Times New Roman"/>
          <w:sz w:val="22"/>
          <w:szCs w:val="18"/>
        </w:rPr>
        <w:t xml:space="preserve">We have already exposed its main </w:t>
      </w:r>
      <w:r w:rsidR="003034A2" w:rsidRPr="00804602">
        <w:rPr>
          <w:rFonts w:ascii="AGaramond" w:hAnsi="AGaramond" w:cs="Times New Roman"/>
          <w:sz w:val="22"/>
          <w:szCs w:val="18"/>
        </w:rPr>
        <w:t>implications</w:t>
      </w:r>
      <w:r w:rsidR="003C4455" w:rsidRPr="00804602">
        <w:rPr>
          <w:rFonts w:ascii="AGaramond" w:hAnsi="AGaramond" w:cs="Times New Roman"/>
          <w:sz w:val="22"/>
          <w:szCs w:val="18"/>
        </w:rPr>
        <w:t>, but it</w:t>
      </w:r>
      <w:r w:rsidR="008611E5" w:rsidRPr="00804602">
        <w:rPr>
          <w:rFonts w:ascii="AGaramond" w:hAnsi="AGaramond" w:cs="Times New Roman"/>
          <w:sz w:val="22"/>
          <w:szCs w:val="18"/>
        </w:rPr>
        <w:t xml:space="preserve"> i</w:t>
      </w:r>
      <w:r w:rsidR="003C4455" w:rsidRPr="00804602">
        <w:rPr>
          <w:rFonts w:ascii="AGaramond" w:hAnsi="AGaramond" w:cs="Times New Roman"/>
          <w:sz w:val="22"/>
          <w:szCs w:val="18"/>
        </w:rPr>
        <w:t>s worth returning to them now</w:t>
      </w:r>
      <w:r w:rsidR="008611E5" w:rsidRPr="00804602">
        <w:rPr>
          <w:rFonts w:ascii="AGaramond" w:hAnsi="AGaramond" w:cs="Times New Roman"/>
          <w:sz w:val="22"/>
          <w:szCs w:val="18"/>
        </w:rPr>
        <w:t>,</w:t>
      </w:r>
      <w:r w:rsidR="003034A2" w:rsidRPr="00804602">
        <w:rPr>
          <w:rFonts w:ascii="AGaramond" w:hAnsi="AGaramond" w:cs="Times New Roman"/>
          <w:sz w:val="22"/>
          <w:szCs w:val="18"/>
        </w:rPr>
        <w:t xml:space="preserve"> in a systematic way</w:t>
      </w:r>
      <w:r w:rsidR="003C4455" w:rsidRPr="00804602">
        <w:rPr>
          <w:rFonts w:ascii="AGaramond" w:hAnsi="AGaramond" w:cs="Times New Roman"/>
          <w:sz w:val="22"/>
          <w:szCs w:val="18"/>
        </w:rPr>
        <w:t>. The first</w:t>
      </w:r>
      <w:r w:rsidR="003034A2" w:rsidRPr="00804602">
        <w:rPr>
          <w:rFonts w:ascii="AGaramond" w:hAnsi="AGaramond" w:cs="Times New Roman"/>
          <w:sz w:val="22"/>
          <w:szCs w:val="18"/>
        </w:rPr>
        <w:t xml:space="preserve"> </w:t>
      </w:r>
      <w:r w:rsidR="00D52C32" w:rsidRPr="00804602">
        <w:rPr>
          <w:rFonts w:ascii="AGaramond" w:hAnsi="AGaramond" w:cs="Times New Roman"/>
          <w:sz w:val="22"/>
          <w:szCs w:val="18"/>
        </w:rPr>
        <w:t>set of</w:t>
      </w:r>
      <w:r w:rsidR="003034A2" w:rsidRPr="00804602">
        <w:rPr>
          <w:rFonts w:ascii="AGaramond" w:hAnsi="AGaramond" w:cs="Times New Roman"/>
          <w:sz w:val="22"/>
          <w:szCs w:val="18"/>
        </w:rPr>
        <w:t xml:space="preserve"> implication</w:t>
      </w:r>
      <w:r w:rsidR="00D52C32" w:rsidRPr="00804602">
        <w:rPr>
          <w:rFonts w:ascii="AGaramond" w:hAnsi="AGaramond" w:cs="Times New Roman"/>
          <w:sz w:val="22"/>
          <w:szCs w:val="18"/>
        </w:rPr>
        <w:t>s</w:t>
      </w:r>
      <w:r w:rsidR="003C4455" w:rsidRPr="00804602">
        <w:rPr>
          <w:rFonts w:ascii="AGaramond" w:hAnsi="AGaramond" w:cs="Times New Roman"/>
          <w:sz w:val="22"/>
          <w:szCs w:val="18"/>
        </w:rPr>
        <w:t xml:space="preserve"> </w:t>
      </w:r>
      <w:r w:rsidR="00D52C32" w:rsidRPr="00804602">
        <w:rPr>
          <w:rFonts w:ascii="AGaramond" w:hAnsi="AGaramond" w:cs="Times New Roman"/>
          <w:sz w:val="22"/>
          <w:szCs w:val="18"/>
        </w:rPr>
        <w:t>result</w:t>
      </w:r>
      <w:r w:rsidR="003034A2" w:rsidRPr="00804602">
        <w:rPr>
          <w:rFonts w:ascii="AGaramond" w:hAnsi="AGaramond" w:cs="Times New Roman"/>
          <w:sz w:val="22"/>
          <w:szCs w:val="18"/>
        </w:rPr>
        <w:t xml:space="preserve"> from </w:t>
      </w:r>
      <w:r w:rsidR="0014632D" w:rsidRPr="00804602">
        <w:rPr>
          <w:rFonts w:ascii="AGaramond" w:hAnsi="AGaramond" w:cs="Times New Roman"/>
          <w:sz w:val="22"/>
          <w:szCs w:val="18"/>
        </w:rPr>
        <w:t xml:space="preserve">thinking </w:t>
      </w:r>
      <w:r w:rsidR="00D22DF4" w:rsidRPr="00804602">
        <w:rPr>
          <w:rFonts w:ascii="AGaramond" w:hAnsi="AGaramond" w:cs="Times New Roman"/>
          <w:sz w:val="22"/>
          <w:szCs w:val="18"/>
        </w:rPr>
        <w:t xml:space="preserve">the project </w:t>
      </w:r>
      <w:r w:rsidR="00C644F8" w:rsidRPr="00804602">
        <w:rPr>
          <w:rFonts w:ascii="AGaramond" w:hAnsi="AGaramond" w:cs="Times New Roman"/>
          <w:i/>
          <w:sz w:val="22"/>
          <w:szCs w:val="18"/>
        </w:rPr>
        <w:t>qua</w:t>
      </w:r>
      <w:r w:rsidR="00C644F8" w:rsidRPr="00804602">
        <w:rPr>
          <w:rFonts w:ascii="AGaramond" w:hAnsi="AGaramond" w:cs="Times New Roman"/>
          <w:sz w:val="22"/>
          <w:szCs w:val="18"/>
        </w:rPr>
        <w:t xml:space="preserve"> enunciation </w:t>
      </w:r>
      <w:r w:rsidR="00D22DF4" w:rsidRPr="00804602">
        <w:rPr>
          <w:rFonts w:ascii="AGaramond" w:hAnsi="AGaramond" w:cs="Times New Roman"/>
          <w:sz w:val="22"/>
          <w:szCs w:val="18"/>
        </w:rPr>
        <w:t xml:space="preserve">as </w:t>
      </w:r>
      <w:r w:rsidR="0014632D" w:rsidRPr="00804602">
        <w:rPr>
          <w:rFonts w:ascii="AGaramond" w:hAnsi="AGaramond" w:cs="Times New Roman"/>
          <w:sz w:val="22"/>
          <w:szCs w:val="18"/>
        </w:rPr>
        <w:t xml:space="preserve">an orchestration of multiple voices. </w:t>
      </w:r>
      <w:r w:rsidR="00E1180A" w:rsidRPr="00804602">
        <w:rPr>
          <w:rFonts w:ascii="AGaramond" w:hAnsi="AGaramond" w:cs="Times New Roman"/>
          <w:sz w:val="22"/>
          <w:szCs w:val="18"/>
        </w:rPr>
        <w:t xml:space="preserve">The immediate </w:t>
      </w:r>
      <w:r w:rsidR="00C53AA0" w:rsidRPr="00804602">
        <w:rPr>
          <w:rFonts w:ascii="AGaramond" w:hAnsi="AGaramond" w:cs="Times New Roman"/>
          <w:sz w:val="22"/>
          <w:szCs w:val="18"/>
        </w:rPr>
        <w:t xml:space="preserve">consequence of this is </w:t>
      </w:r>
      <w:r w:rsidR="003034A2" w:rsidRPr="00804602">
        <w:rPr>
          <w:rFonts w:ascii="AGaramond" w:hAnsi="AGaramond" w:cs="Times New Roman"/>
          <w:sz w:val="22"/>
          <w:szCs w:val="18"/>
        </w:rPr>
        <w:t xml:space="preserve">a better capacity to understand </w:t>
      </w:r>
      <w:r w:rsidR="0014632D" w:rsidRPr="00804602">
        <w:rPr>
          <w:rFonts w:ascii="AGaramond" w:hAnsi="AGaramond" w:cs="Times New Roman"/>
          <w:sz w:val="22"/>
          <w:szCs w:val="18"/>
        </w:rPr>
        <w:t xml:space="preserve">the multiple assemblages </w:t>
      </w:r>
      <w:r w:rsidR="00C53AA0" w:rsidRPr="00804602">
        <w:rPr>
          <w:rFonts w:ascii="AGaramond" w:hAnsi="AGaramond" w:cs="Times New Roman"/>
          <w:sz w:val="22"/>
          <w:szCs w:val="18"/>
        </w:rPr>
        <w:t>the project</w:t>
      </w:r>
      <w:r w:rsidR="0014632D" w:rsidRPr="00804602">
        <w:rPr>
          <w:rFonts w:ascii="AGaramond" w:hAnsi="AGaramond" w:cs="Times New Roman"/>
          <w:sz w:val="22"/>
          <w:szCs w:val="18"/>
        </w:rPr>
        <w:t xml:space="preserve"> is part of, </w:t>
      </w:r>
      <w:r w:rsidR="003034A2" w:rsidRPr="00804602">
        <w:rPr>
          <w:rFonts w:ascii="AGaramond" w:hAnsi="AGaramond" w:cs="Times New Roman"/>
          <w:sz w:val="22"/>
          <w:szCs w:val="18"/>
        </w:rPr>
        <w:t xml:space="preserve">the </w:t>
      </w:r>
      <w:r w:rsidR="00C53AA0" w:rsidRPr="00804602">
        <w:rPr>
          <w:rFonts w:ascii="AGaramond" w:hAnsi="AGaramond" w:cs="Times New Roman"/>
          <w:sz w:val="22"/>
          <w:szCs w:val="18"/>
        </w:rPr>
        <w:t xml:space="preserve">diversity of </w:t>
      </w:r>
      <w:r w:rsidR="00416380" w:rsidRPr="00804602">
        <w:rPr>
          <w:rFonts w:ascii="AGaramond" w:hAnsi="AGaramond" w:cs="Times New Roman"/>
          <w:sz w:val="22"/>
          <w:szCs w:val="18"/>
        </w:rPr>
        <w:t>factors that influence it</w:t>
      </w:r>
      <w:r w:rsidR="00540645" w:rsidRPr="00804602">
        <w:rPr>
          <w:rFonts w:ascii="AGaramond" w:hAnsi="AGaramond" w:cs="Times New Roman"/>
          <w:sz w:val="22"/>
          <w:szCs w:val="18"/>
        </w:rPr>
        <w:t>,</w:t>
      </w:r>
      <w:r w:rsidR="00416380" w:rsidRPr="00804602">
        <w:rPr>
          <w:rFonts w:ascii="AGaramond" w:hAnsi="AGaramond" w:cs="Times New Roman"/>
          <w:sz w:val="22"/>
          <w:szCs w:val="18"/>
        </w:rPr>
        <w:t xml:space="preserve"> and the multiple </w:t>
      </w:r>
      <w:r w:rsidR="007D5C7B" w:rsidRPr="00804602">
        <w:rPr>
          <w:rFonts w:ascii="AGaramond" w:hAnsi="AGaramond" w:cs="Times New Roman"/>
          <w:sz w:val="22"/>
          <w:szCs w:val="18"/>
        </w:rPr>
        <w:t>constituencies</w:t>
      </w:r>
      <w:r w:rsidR="00416380" w:rsidRPr="00804602">
        <w:rPr>
          <w:rFonts w:ascii="AGaramond" w:hAnsi="AGaramond" w:cs="Times New Roman"/>
          <w:sz w:val="22"/>
          <w:szCs w:val="18"/>
        </w:rPr>
        <w:t xml:space="preserve"> to which it matters. </w:t>
      </w:r>
      <w:r w:rsidR="00F00B0A" w:rsidRPr="00804602">
        <w:rPr>
          <w:rFonts w:ascii="AGaramond" w:hAnsi="AGaramond" w:cs="Times New Roman"/>
          <w:sz w:val="22"/>
          <w:szCs w:val="18"/>
        </w:rPr>
        <w:t>Equally</w:t>
      </w:r>
      <w:r w:rsidR="00961911" w:rsidRPr="00804602">
        <w:rPr>
          <w:rFonts w:ascii="AGaramond" w:hAnsi="AGaramond" w:cs="Times New Roman"/>
          <w:sz w:val="22"/>
          <w:szCs w:val="18"/>
        </w:rPr>
        <w:t>,</w:t>
      </w:r>
      <w:r w:rsidR="00F00B0A" w:rsidRPr="00804602">
        <w:rPr>
          <w:rFonts w:ascii="AGaramond" w:hAnsi="AGaramond" w:cs="Times New Roman"/>
          <w:sz w:val="22"/>
          <w:szCs w:val="18"/>
        </w:rPr>
        <w:t xml:space="preserve"> it recognizes the autonomy of the constituent elements of </w:t>
      </w:r>
      <w:r w:rsidR="00283A57" w:rsidRPr="00804602">
        <w:rPr>
          <w:rFonts w:ascii="AGaramond" w:hAnsi="AGaramond" w:cs="Times New Roman"/>
          <w:sz w:val="22"/>
          <w:szCs w:val="18"/>
        </w:rPr>
        <w:t>architect</w:t>
      </w:r>
      <w:r w:rsidR="00C53AA0" w:rsidRPr="00804602">
        <w:rPr>
          <w:rFonts w:ascii="AGaramond" w:hAnsi="AGaramond" w:cs="Times New Roman"/>
          <w:sz w:val="22"/>
          <w:szCs w:val="18"/>
        </w:rPr>
        <w:t>u</w:t>
      </w:r>
      <w:r w:rsidR="00283A57" w:rsidRPr="00804602">
        <w:rPr>
          <w:rFonts w:ascii="AGaramond" w:hAnsi="AGaramond" w:cs="Times New Roman"/>
          <w:sz w:val="22"/>
          <w:szCs w:val="18"/>
        </w:rPr>
        <w:t>re</w:t>
      </w:r>
      <w:r w:rsidR="00F00B0A" w:rsidRPr="00804602">
        <w:rPr>
          <w:rFonts w:ascii="AGaramond" w:hAnsi="AGaramond" w:cs="Times New Roman"/>
          <w:sz w:val="22"/>
          <w:szCs w:val="18"/>
        </w:rPr>
        <w:t xml:space="preserve"> and how they work both in </w:t>
      </w:r>
      <w:r w:rsidR="00310847" w:rsidRPr="00804602">
        <w:rPr>
          <w:rFonts w:ascii="AGaramond" w:hAnsi="AGaramond" w:cs="Times New Roman"/>
          <w:sz w:val="22"/>
          <w:szCs w:val="18"/>
        </w:rPr>
        <w:t>support</w:t>
      </w:r>
      <w:r w:rsidR="00F00B0A" w:rsidRPr="00804602">
        <w:rPr>
          <w:rFonts w:ascii="AGaramond" w:hAnsi="AGaramond" w:cs="Times New Roman"/>
          <w:sz w:val="22"/>
          <w:szCs w:val="18"/>
        </w:rPr>
        <w:t xml:space="preserve"> of the project and independently from </w:t>
      </w:r>
      <w:r w:rsidR="00C53AA0" w:rsidRPr="00804602">
        <w:rPr>
          <w:rFonts w:ascii="AGaramond" w:hAnsi="AGaramond" w:cs="Times New Roman"/>
          <w:sz w:val="22"/>
          <w:szCs w:val="18"/>
        </w:rPr>
        <w:t>it</w:t>
      </w:r>
      <w:r w:rsidR="00F00B0A" w:rsidRPr="00804602">
        <w:rPr>
          <w:rFonts w:ascii="AGaramond" w:hAnsi="AGaramond" w:cs="Times New Roman"/>
          <w:sz w:val="22"/>
          <w:szCs w:val="18"/>
        </w:rPr>
        <w:t xml:space="preserve">. </w:t>
      </w:r>
      <w:r w:rsidR="00C53AA0" w:rsidRPr="00804602">
        <w:rPr>
          <w:rFonts w:ascii="AGaramond" w:hAnsi="AGaramond" w:cs="Times New Roman"/>
          <w:sz w:val="22"/>
          <w:szCs w:val="18"/>
        </w:rPr>
        <w:t>I</w:t>
      </w:r>
      <w:r w:rsidR="00D52C32" w:rsidRPr="00804602">
        <w:rPr>
          <w:rFonts w:ascii="AGaramond" w:hAnsi="AGaramond" w:cs="Times New Roman"/>
          <w:sz w:val="22"/>
          <w:szCs w:val="18"/>
        </w:rPr>
        <w:t>n doing so</w:t>
      </w:r>
      <w:r w:rsidR="00C53AA0" w:rsidRPr="00804602">
        <w:rPr>
          <w:rFonts w:ascii="AGaramond" w:hAnsi="AGaramond" w:cs="Times New Roman"/>
          <w:sz w:val="22"/>
          <w:szCs w:val="18"/>
        </w:rPr>
        <w:t xml:space="preserve">, </w:t>
      </w:r>
      <w:r w:rsidR="00CC0C09" w:rsidRPr="00804602">
        <w:rPr>
          <w:rFonts w:ascii="AGaramond" w:hAnsi="AGaramond" w:cs="Times New Roman"/>
          <w:sz w:val="22"/>
          <w:szCs w:val="18"/>
        </w:rPr>
        <w:t xml:space="preserve">the polyphonic undermines the totalizing focus on form, organization and program as the almost exclusive objects of architectural analysis, bringing back the importance of discarded topics such as decoration, furniture or lighting. </w:t>
      </w:r>
      <w:r w:rsidR="00D52C32" w:rsidRPr="00804602">
        <w:rPr>
          <w:rFonts w:ascii="AGaramond" w:hAnsi="AGaramond" w:cs="Times New Roman"/>
          <w:sz w:val="22"/>
          <w:szCs w:val="18"/>
        </w:rPr>
        <w:t>The second set of implications result</w:t>
      </w:r>
      <w:r w:rsidR="00961911" w:rsidRPr="00804602">
        <w:rPr>
          <w:rFonts w:ascii="AGaramond" w:hAnsi="AGaramond" w:cs="Times New Roman"/>
          <w:sz w:val="22"/>
          <w:szCs w:val="18"/>
        </w:rPr>
        <w:t>s</w:t>
      </w:r>
      <w:r w:rsidR="00D52C32" w:rsidRPr="00804602">
        <w:rPr>
          <w:rFonts w:ascii="AGaramond" w:hAnsi="AGaramond" w:cs="Times New Roman"/>
          <w:sz w:val="22"/>
          <w:szCs w:val="18"/>
        </w:rPr>
        <w:t xml:space="preserve"> from</w:t>
      </w:r>
      <w:r w:rsidR="00916DF4" w:rsidRPr="00804602">
        <w:rPr>
          <w:rFonts w:ascii="AGaramond" w:hAnsi="AGaramond" w:cs="Times New Roman"/>
          <w:sz w:val="22"/>
          <w:szCs w:val="18"/>
        </w:rPr>
        <w:t xml:space="preserve"> </w:t>
      </w:r>
      <w:r w:rsidR="0082063E" w:rsidRPr="00804602">
        <w:rPr>
          <w:rFonts w:ascii="AGaramond" w:hAnsi="AGaramond" w:cs="Times New Roman"/>
          <w:sz w:val="22"/>
          <w:szCs w:val="18"/>
        </w:rPr>
        <w:t xml:space="preserve">an attention </w:t>
      </w:r>
      <w:r w:rsidR="003034A2" w:rsidRPr="00804602">
        <w:rPr>
          <w:rFonts w:ascii="AGaramond" w:hAnsi="AGaramond" w:cs="Times New Roman"/>
          <w:sz w:val="22"/>
          <w:szCs w:val="18"/>
        </w:rPr>
        <w:t xml:space="preserve">to </w:t>
      </w:r>
      <w:r w:rsidR="00651E68" w:rsidRPr="00804602">
        <w:rPr>
          <w:rFonts w:ascii="AGaramond" w:hAnsi="AGaramond" w:cs="Times New Roman"/>
          <w:sz w:val="22"/>
          <w:szCs w:val="18"/>
        </w:rPr>
        <w:t>how a project operates in both perceptive and affective ways</w:t>
      </w:r>
      <w:r w:rsidR="00D52C32" w:rsidRPr="00804602">
        <w:rPr>
          <w:rFonts w:ascii="AGaramond" w:hAnsi="AGaramond" w:cs="Times New Roman"/>
          <w:sz w:val="22"/>
          <w:szCs w:val="18"/>
        </w:rPr>
        <w:t>. This</w:t>
      </w:r>
      <w:r w:rsidR="00651E68" w:rsidRPr="00804602">
        <w:rPr>
          <w:rFonts w:ascii="AGaramond" w:hAnsi="AGaramond" w:cs="Times New Roman"/>
          <w:sz w:val="22"/>
          <w:szCs w:val="18"/>
        </w:rPr>
        <w:t xml:space="preserve"> allows </w:t>
      </w:r>
      <w:r w:rsidR="00D52C32" w:rsidRPr="00804602">
        <w:rPr>
          <w:rFonts w:ascii="AGaramond" w:hAnsi="AGaramond" w:cs="Times New Roman"/>
          <w:sz w:val="22"/>
          <w:szCs w:val="18"/>
        </w:rPr>
        <w:t>complementing</w:t>
      </w:r>
      <w:r w:rsidR="00CB018D" w:rsidRPr="00804602">
        <w:rPr>
          <w:rFonts w:ascii="AGaramond" w:hAnsi="AGaramond" w:cs="Times New Roman"/>
          <w:sz w:val="22"/>
          <w:szCs w:val="18"/>
        </w:rPr>
        <w:t xml:space="preserve"> an attention to </w:t>
      </w:r>
      <w:r w:rsidR="00540645" w:rsidRPr="00804602">
        <w:rPr>
          <w:rFonts w:ascii="AGaramond" w:hAnsi="AGaramond" w:cs="Times New Roman"/>
          <w:sz w:val="22"/>
          <w:szCs w:val="18"/>
        </w:rPr>
        <w:t xml:space="preserve">indexicality, </w:t>
      </w:r>
      <w:r w:rsidR="00CB018D" w:rsidRPr="00804602">
        <w:rPr>
          <w:rFonts w:ascii="AGaramond" w:hAnsi="AGaramond" w:cs="Times New Roman"/>
          <w:sz w:val="22"/>
          <w:szCs w:val="18"/>
        </w:rPr>
        <w:t>representati</w:t>
      </w:r>
      <w:r w:rsidR="00961911" w:rsidRPr="00804602">
        <w:rPr>
          <w:rFonts w:ascii="AGaramond" w:hAnsi="AGaramond" w:cs="Times New Roman"/>
          <w:sz w:val="22"/>
          <w:szCs w:val="18"/>
        </w:rPr>
        <w:t>on, symbolism and signification</w:t>
      </w:r>
      <w:r w:rsidR="00CB018D" w:rsidRPr="00804602">
        <w:rPr>
          <w:rFonts w:ascii="AGaramond" w:hAnsi="AGaramond" w:cs="Times New Roman"/>
          <w:sz w:val="22"/>
          <w:szCs w:val="18"/>
        </w:rPr>
        <w:t xml:space="preserve"> </w:t>
      </w:r>
      <w:r w:rsidR="00D52C32" w:rsidRPr="00804602">
        <w:rPr>
          <w:rFonts w:ascii="AGaramond" w:hAnsi="AGaramond" w:cs="Times New Roman"/>
          <w:sz w:val="22"/>
          <w:szCs w:val="18"/>
        </w:rPr>
        <w:t>with</w:t>
      </w:r>
      <w:r w:rsidR="00CB018D" w:rsidRPr="00804602">
        <w:rPr>
          <w:rFonts w:ascii="AGaramond" w:hAnsi="AGaramond" w:cs="Times New Roman"/>
          <w:sz w:val="22"/>
          <w:szCs w:val="18"/>
        </w:rPr>
        <w:t xml:space="preserve"> an attention to </w:t>
      </w:r>
      <w:r w:rsidR="00D52C32" w:rsidRPr="00804602">
        <w:rPr>
          <w:rFonts w:ascii="AGaramond" w:hAnsi="AGaramond" w:cs="Times New Roman"/>
          <w:sz w:val="22"/>
          <w:szCs w:val="18"/>
        </w:rPr>
        <w:t>the non-representational and a-signifying ways though which buildings and spaces work directly on bodies</w:t>
      </w:r>
      <w:r w:rsidR="00573D80" w:rsidRPr="00804602">
        <w:rPr>
          <w:rFonts w:ascii="AGaramond" w:hAnsi="AGaramond" w:cs="Times New Roman"/>
          <w:sz w:val="22"/>
          <w:szCs w:val="18"/>
        </w:rPr>
        <w:t xml:space="preserve"> (mostly in imperceptible ways)</w:t>
      </w:r>
      <w:r w:rsidR="00D52C32" w:rsidRPr="00804602">
        <w:rPr>
          <w:rFonts w:ascii="AGaramond" w:hAnsi="AGaramond" w:cs="Times New Roman"/>
          <w:sz w:val="22"/>
          <w:szCs w:val="18"/>
        </w:rPr>
        <w:t xml:space="preserve">. </w:t>
      </w:r>
      <w:r w:rsidR="006A1E92" w:rsidRPr="00804602">
        <w:rPr>
          <w:rFonts w:ascii="AGaramond" w:hAnsi="AGaramond" w:cs="Times New Roman"/>
          <w:sz w:val="22"/>
          <w:szCs w:val="18"/>
        </w:rPr>
        <w:t xml:space="preserve">This implies shifting </w:t>
      </w:r>
      <w:r w:rsidR="0082063E" w:rsidRPr="00804602">
        <w:rPr>
          <w:rFonts w:ascii="AGaramond" w:hAnsi="AGaramond" w:cs="Times New Roman"/>
          <w:sz w:val="22"/>
          <w:szCs w:val="18"/>
        </w:rPr>
        <w:t xml:space="preserve">the focus of analysis from what the </w:t>
      </w:r>
      <w:r w:rsidR="00A653EC" w:rsidRPr="00804602">
        <w:rPr>
          <w:rFonts w:ascii="AGaramond" w:hAnsi="AGaramond" w:cs="Times New Roman"/>
          <w:sz w:val="22"/>
          <w:szCs w:val="18"/>
        </w:rPr>
        <w:t>drawing</w:t>
      </w:r>
      <w:r w:rsidR="0082063E" w:rsidRPr="00804602">
        <w:rPr>
          <w:rFonts w:ascii="AGaramond" w:hAnsi="AGaramond" w:cs="Times New Roman"/>
          <w:sz w:val="22"/>
          <w:szCs w:val="18"/>
        </w:rPr>
        <w:t xml:space="preserve"> is (determined according to what it expresses, </w:t>
      </w:r>
      <w:r w:rsidR="003034A2" w:rsidRPr="00804602">
        <w:rPr>
          <w:rFonts w:ascii="AGaramond" w:hAnsi="AGaramond" w:cs="Times New Roman"/>
          <w:sz w:val="22"/>
          <w:szCs w:val="18"/>
        </w:rPr>
        <w:t>symbolizes</w:t>
      </w:r>
      <w:r w:rsidR="0082063E" w:rsidRPr="00804602">
        <w:rPr>
          <w:rFonts w:ascii="AGaramond" w:hAnsi="AGaramond" w:cs="Times New Roman"/>
          <w:sz w:val="22"/>
          <w:szCs w:val="18"/>
        </w:rPr>
        <w:t xml:space="preserve"> or represents) to </w:t>
      </w:r>
      <w:r w:rsidR="003034A2" w:rsidRPr="00804602">
        <w:rPr>
          <w:rFonts w:ascii="AGaramond" w:hAnsi="AGaramond" w:cs="Times New Roman"/>
          <w:sz w:val="22"/>
          <w:szCs w:val="18"/>
        </w:rPr>
        <w:t xml:space="preserve">what the </w:t>
      </w:r>
      <w:r w:rsidR="00A653EC" w:rsidRPr="00804602">
        <w:rPr>
          <w:rFonts w:ascii="AGaramond" w:hAnsi="AGaramond" w:cs="Times New Roman"/>
          <w:sz w:val="22"/>
          <w:szCs w:val="18"/>
        </w:rPr>
        <w:t>drawing</w:t>
      </w:r>
      <w:r w:rsidR="003034A2" w:rsidRPr="00804602">
        <w:rPr>
          <w:rFonts w:ascii="AGaramond" w:hAnsi="AGaramond" w:cs="Times New Roman"/>
          <w:sz w:val="22"/>
          <w:szCs w:val="18"/>
        </w:rPr>
        <w:t xml:space="preserve"> aims to do</w:t>
      </w:r>
      <w:r w:rsidR="00A653EC" w:rsidRPr="00804602">
        <w:rPr>
          <w:rFonts w:ascii="AGaramond" w:hAnsi="AGaramond" w:cs="Times New Roman"/>
          <w:sz w:val="22"/>
          <w:szCs w:val="18"/>
        </w:rPr>
        <w:t xml:space="preserve"> (the project)</w:t>
      </w:r>
      <w:r w:rsidR="003034A2" w:rsidRPr="00804602">
        <w:rPr>
          <w:rFonts w:ascii="AGaramond" w:hAnsi="AGaramond" w:cs="Times New Roman"/>
          <w:sz w:val="22"/>
          <w:szCs w:val="18"/>
        </w:rPr>
        <w:t xml:space="preserve">. </w:t>
      </w:r>
      <w:r w:rsidR="00AA69D9" w:rsidRPr="00804602">
        <w:rPr>
          <w:rFonts w:ascii="AGaramond" w:hAnsi="AGaramond" w:cs="Times New Roman"/>
          <w:sz w:val="22"/>
          <w:szCs w:val="18"/>
        </w:rPr>
        <w:t xml:space="preserve">Ultimately we can say that </w:t>
      </w:r>
      <w:r w:rsidR="00AA69D9" w:rsidRPr="00804602">
        <w:rPr>
          <w:rFonts w:ascii="AGaramond" w:hAnsi="AGaramond"/>
          <w:sz w:val="22"/>
        </w:rPr>
        <w:t xml:space="preserve">understanding the </w:t>
      </w:r>
      <w:r w:rsidR="00AA69D9" w:rsidRPr="00804602">
        <w:rPr>
          <w:rFonts w:ascii="AGaramond" w:hAnsi="AGaramond"/>
          <w:i/>
          <w:sz w:val="22"/>
        </w:rPr>
        <w:t>project</w:t>
      </w:r>
      <w:r w:rsidR="00AA69D9" w:rsidRPr="00804602">
        <w:rPr>
          <w:rFonts w:ascii="AGaramond" w:hAnsi="AGaramond"/>
          <w:sz w:val="22"/>
        </w:rPr>
        <w:t xml:space="preserve"> through enunciation allows it </w:t>
      </w:r>
      <w:r w:rsidR="0009762D" w:rsidRPr="00804602">
        <w:rPr>
          <w:rFonts w:ascii="AGaramond" w:hAnsi="AGaramond"/>
          <w:sz w:val="22"/>
        </w:rPr>
        <w:t xml:space="preserve">to be anchored </w:t>
      </w:r>
      <w:r w:rsidR="00AA69D9" w:rsidRPr="00804602">
        <w:rPr>
          <w:rFonts w:ascii="AGaramond" w:hAnsi="AGaramond"/>
          <w:sz w:val="22"/>
        </w:rPr>
        <w:t>in the pragmatics of design and to avoid its reduction to an ideal concept. If the context changes, the project will necessarily change as well, even if most of its broader social or political commitments remain the same</w:t>
      </w:r>
      <w:r w:rsidR="002A68F9" w:rsidRPr="00804602">
        <w:rPr>
          <w:rFonts w:ascii="AGaramond" w:hAnsi="AGaramond"/>
          <w:sz w:val="22"/>
        </w:rPr>
        <w:t>.</w:t>
      </w:r>
    </w:p>
    <w:p w14:paraId="121D3D54" w14:textId="77777777" w:rsidR="00D01DA2" w:rsidRPr="00804602" w:rsidRDefault="006A1E92" w:rsidP="00AA69D9">
      <w:pPr>
        <w:spacing w:after="0"/>
        <w:ind w:firstLine="720"/>
        <w:rPr>
          <w:rFonts w:ascii="AGaramond" w:hAnsi="AGaramond" w:cs="Times New Roman"/>
          <w:sz w:val="22"/>
          <w:szCs w:val="18"/>
        </w:rPr>
      </w:pPr>
      <w:r w:rsidRPr="00804602">
        <w:rPr>
          <w:rFonts w:ascii="AGaramond" w:hAnsi="AGaramond" w:cs="Times New Roman"/>
          <w:sz w:val="22"/>
          <w:szCs w:val="18"/>
        </w:rPr>
        <w:t>These insights are extreme</w:t>
      </w:r>
      <w:r w:rsidR="00961911" w:rsidRPr="00804602">
        <w:rPr>
          <w:rFonts w:ascii="AGaramond" w:hAnsi="AGaramond" w:cs="Times New Roman"/>
          <w:sz w:val="22"/>
          <w:szCs w:val="18"/>
        </w:rPr>
        <w:t>ly important</w:t>
      </w:r>
      <w:r w:rsidRPr="00804602">
        <w:rPr>
          <w:rFonts w:ascii="AGaramond" w:hAnsi="AGaramond" w:cs="Times New Roman"/>
          <w:sz w:val="22"/>
          <w:szCs w:val="18"/>
        </w:rPr>
        <w:t xml:space="preserve"> if we are to critically access the ways in which architecture exists in the world. Through enunciation we gain </w:t>
      </w:r>
      <w:r w:rsidRPr="00804602">
        <w:rPr>
          <w:rFonts w:ascii="AGaramond" w:hAnsi="AGaramond"/>
          <w:sz w:val="22"/>
          <w:szCs w:val="20"/>
        </w:rPr>
        <w:t>a far more precise cartography of what a project does and of the possibilities it opens up.</w:t>
      </w:r>
      <w:r w:rsidRPr="00804602">
        <w:rPr>
          <w:rFonts w:ascii="AGaramond" w:hAnsi="AGaramond"/>
          <w:sz w:val="22"/>
          <w:lang w:val="en-GB"/>
        </w:rPr>
        <w:t xml:space="preserve"> </w:t>
      </w:r>
      <w:r w:rsidRPr="00804602">
        <w:rPr>
          <w:rFonts w:ascii="AGaramond" w:hAnsi="AGaramond" w:cs="Times New Roman"/>
          <w:sz w:val="22"/>
          <w:szCs w:val="18"/>
        </w:rPr>
        <w:t xml:space="preserve">The project emerges as </w:t>
      </w:r>
      <w:r w:rsidR="0082063E" w:rsidRPr="00804602">
        <w:rPr>
          <w:rFonts w:ascii="AGaramond" w:hAnsi="AGaramond" w:cs="Times New Roman"/>
          <w:sz w:val="22"/>
          <w:szCs w:val="18"/>
        </w:rPr>
        <w:t xml:space="preserve">an intervention </w:t>
      </w:r>
      <w:r w:rsidR="008A735A" w:rsidRPr="00804602">
        <w:rPr>
          <w:rFonts w:ascii="AGaramond" w:hAnsi="AGaramond" w:cs="Times New Roman"/>
          <w:sz w:val="22"/>
          <w:szCs w:val="18"/>
        </w:rPr>
        <w:t>in a pragmatic context</w:t>
      </w:r>
      <w:r w:rsidR="00AA69D9" w:rsidRPr="00804602">
        <w:rPr>
          <w:rFonts w:ascii="AGaramond" w:hAnsi="AGaramond" w:cs="Times New Roman"/>
          <w:sz w:val="22"/>
          <w:szCs w:val="18"/>
        </w:rPr>
        <w:t>, via the composition of</w:t>
      </w:r>
      <w:r w:rsidR="0082063E" w:rsidRPr="00804602">
        <w:rPr>
          <w:rFonts w:ascii="AGaramond" w:hAnsi="AGaramond" w:cs="Times New Roman"/>
          <w:sz w:val="22"/>
          <w:szCs w:val="18"/>
        </w:rPr>
        <w:t xml:space="preserve"> both expressive and affective materials, without ignoring their autonomous </w:t>
      </w:r>
      <w:r w:rsidR="007D2E33" w:rsidRPr="00804602">
        <w:rPr>
          <w:rFonts w:ascii="AGaramond" w:hAnsi="AGaramond" w:cs="Times New Roman"/>
          <w:sz w:val="22"/>
          <w:szCs w:val="18"/>
        </w:rPr>
        <w:t>nature</w:t>
      </w:r>
      <w:r w:rsidR="00961911" w:rsidRPr="00804602">
        <w:rPr>
          <w:rFonts w:ascii="AGaramond" w:hAnsi="AGaramond" w:cs="Times New Roman"/>
          <w:sz w:val="22"/>
          <w:szCs w:val="18"/>
        </w:rPr>
        <w:t xml:space="preserve"> – </w:t>
      </w:r>
      <w:r w:rsidR="0082063E" w:rsidRPr="00804602">
        <w:rPr>
          <w:rFonts w:ascii="AGaramond" w:hAnsi="AGaramond"/>
          <w:sz w:val="22"/>
          <w:szCs w:val="20"/>
        </w:rPr>
        <w:t xml:space="preserve">an orchestration of </w:t>
      </w:r>
      <w:r w:rsidR="00540645" w:rsidRPr="00804602">
        <w:rPr>
          <w:rFonts w:ascii="AGaramond" w:hAnsi="AGaramond"/>
          <w:sz w:val="22"/>
          <w:szCs w:val="20"/>
        </w:rPr>
        <w:t xml:space="preserve">voices and a catalyst of </w:t>
      </w:r>
      <w:r w:rsidR="001C04CE" w:rsidRPr="00804602">
        <w:rPr>
          <w:rFonts w:ascii="AGaramond" w:hAnsi="AGaramond"/>
          <w:sz w:val="22"/>
          <w:szCs w:val="20"/>
        </w:rPr>
        <w:t>spatializ</w:t>
      </w:r>
      <w:r w:rsidR="0082063E" w:rsidRPr="00804602">
        <w:rPr>
          <w:rFonts w:ascii="AGaramond" w:hAnsi="AGaramond"/>
          <w:sz w:val="22"/>
          <w:szCs w:val="20"/>
        </w:rPr>
        <w:t>ed af</w:t>
      </w:r>
      <w:r w:rsidR="00961911" w:rsidRPr="00804602">
        <w:rPr>
          <w:rFonts w:ascii="AGaramond" w:hAnsi="AGaramond"/>
          <w:sz w:val="22"/>
          <w:szCs w:val="20"/>
        </w:rPr>
        <w:t>f</w:t>
      </w:r>
      <w:r w:rsidR="0082063E" w:rsidRPr="00804602">
        <w:rPr>
          <w:rFonts w:ascii="AGaramond" w:hAnsi="AGaramond"/>
          <w:sz w:val="22"/>
          <w:szCs w:val="20"/>
        </w:rPr>
        <w:t>ects</w:t>
      </w:r>
      <w:r w:rsidR="00540645" w:rsidRPr="00804602">
        <w:rPr>
          <w:rFonts w:ascii="AGaramond" w:hAnsi="AGaramond"/>
          <w:sz w:val="22"/>
          <w:szCs w:val="20"/>
        </w:rPr>
        <w:t>.</w:t>
      </w:r>
    </w:p>
    <w:p w14:paraId="06C67578" w14:textId="77777777" w:rsidR="00BF7D34" w:rsidRPr="00804602" w:rsidRDefault="00973FEA" w:rsidP="00664872">
      <w:pPr>
        <w:spacing w:after="0"/>
        <w:rPr>
          <w:rFonts w:ascii="AGaramond" w:hAnsi="AGaramond"/>
          <w:sz w:val="22"/>
          <w:szCs w:val="20"/>
        </w:rPr>
      </w:pPr>
      <w:r w:rsidRPr="00804602">
        <w:rPr>
          <w:rFonts w:ascii="AGaramond" w:hAnsi="AGaramond"/>
          <w:sz w:val="22"/>
          <w:szCs w:val="20"/>
        </w:rPr>
        <w:t xml:space="preserve"> </w:t>
      </w:r>
    </w:p>
    <w:p w14:paraId="069527AE" w14:textId="77777777" w:rsidR="00BC144A" w:rsidRPr="00804602" w:rsidRDefault="00BC144A" w:rsidP="00664872">
      <w:pPr>
        <w:spacing w:after="0"/>
        <w:rPr>
          <w:rFonts w:ascii="AGaramond" w:hAnsi="AGaramond" w:cs="Times New Roman"/>
          <w:sz w:val="22"/>
          <w:szCs w:val="18"/>
        </w:rPr>
      </w:pPr>
    </w:p>
    <w:sectPr w:rsidR="00BC144A" w:rsidRPr="00804602" w:rsidSect="003E19F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150D18" w14:textId="77777777" w:rsidR="002E558C" w:rsidRDefault="002E558C">
      <w:pPr>
        <w:spacing w:after="0"/>
      </w:pPr>
      <w:r>
        <w:separator/>
      </w:r>
    </w:p>
  </w:endnote>
  <w:endnote w:type="continuationSeparator" w:id="0">
    <w:p w14:paraId="5BDFAAD5" w14:textId="77777777" w:rsidR="002E558C" w:rsidRDefault="002E55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005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Garamond">
    <w:altName w:val="Knockout 68 Full Featherwt"/>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2000500000000000000"/>
    <w:charset w:val="00"/>
    <w:family w:val="roman"/>
    <w:pitch w:val="fixed"/>
    <w:sig w:usb0="00000003" w:usb1="00000000" w:usb2="00000000" w:usb3="00000000" w:csb0="00000001" w:csb1="00000000"/>
  </w:font>
  <w:font w:name="Adobe Garamond">
    <w:altName w:val="AGaramond"/>
    <w:panose1 w:val="00000000000000000000"/>
    <w:charset w:val="4D"/>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0E760C" w14:textId="77777777" w:rsidR="002E558C" w:rsidRDefault="002E558C">
      <w:pPr>
        <w:spacing w:after="0"/>
      </w:pPr>
      <w:r>
        <w:separator/>
      </w:r>
    </w:p>
  </w:footnote>
  <w:footnote w:type="continuationSeparator" w:id="0">
    <w:p w14:paraId="6BFC7BC9" w14:textId="77777777" w:rsidR="002E558C" w:rsidRDefault="002E558C">
      <w:pPr>
        <w:spacing w:after="0"/>
      </w:pPr>
      <w:r>
        <w:continuationSeparator/>
      </w:r>
    </w:p>
  </w:footnote>
  <w:footnote w:id="1">
    <w:p w14:paraId="5DCE9B2D" w14:textId="77777777" w:rsidR="00804602" w:rsidRPr="00804602" w:rsidRDefault="00804602" w:rsidP="00C73807">
      <w:pPr>
        <w:spacing w:before="2" w:after="0"/>
        <w:rPr>
          <w:rFonts w:ascii="AGaramond" w:hAnsi="AGaramond" w:cs="Times New Roman"/>
          <w:sz w:val="18"/>
          <w:szCs w:val="22"/>
        </w:rPr>
      </w:pPr>
      <w:r w:rsidRPr="00804602">
        <w:rPr>
          <w:rStyle w:val="FootnoteReference"/>
          <w:rFonts w:ascii="AGaramond" w:hAnsi="AGaramond"/>
          <w:sz w:val="18"/>
        </w:rPr>
        <w:footnoteRef/>
      </w:r>
      <w:r w:rsidRPr="00804602">
        <w:rPr>
          <w:rFonts w:ascii="AGaramond" w:hAnsi="AGaramond"/>
          <w:sz w:val="18"/>
        </w:rPr>
        <w:t xml:space="preserve"> Apart from his well-known work developed in collaboration with Gilles Deleuze, </w:t>
      </w:r>
      <w:r w:rsidRPr="00804602">
        <w:rPr>
          <w:rFonts w:ascii="AGaramond" w:hAnsi="AGaramond" w:cs="Times New Roman"/>
          <w:sz w:val="18"/>
          <w:szCs w:val="22"/>
        </w:rPr>
        <w:t xml:space="preserve">Félix Guattari was a prolific writer on semiotics and paid particular attention to the a-signifying operations of signs. This serves to ground both a critique of the place of language as the prime semiotic register and also a critique of structuralism and its implications for psychoanalytic and political theory. Specifically, his work is key to the theory of assemblages made famous by </w:t>
      </w:r>
      <w:r w:rsidRPr="00804602">
        <w:rPr>
          <w:rFonts w:ascii="AGaramond" w:hAnsi="AGaramond" w:cs="Times New Roman"/>
          <w:i/>
          <w:sz w:val="18"/>
          <w:szCs w:val="22"/>
          <w:lang w:val="en-GB"/>
        </w:rPr>
        <w:t>A Thousand Plateaus</w:t>
      </w:r>
      <w:r w:rsidRPr="00804602">
        <w:rPr>
          <w:rFonts w:ascii="AGaramond" w:hAnsi="AGaramond" w:cs="Times New Roman"/>
          <w:sz w:val="18"/>
          <w:szCs w:val="22"/>
          <w:lang w:val="en-GB"/>
        </w:rPr>
        <w:t xml:space="preserve"> </w:t>
      </w:r>
      <w:r w:rsidRPr="00804602">
        <w:rPr>
          <w:rFonts w:ascii="AGaramond" w:hAnsi="AGaramond" w:cs="Times New Roman"/>
          <w:sz w:val="18"/>
          <w:szCs w:val="22"/>
        </w:rPr>
        <w:t xml:space="preserve">(1980). First introduced in Kafka (1975), the theory of assemblages owes much of its conceptualization to Guattari’s </w:t>
      </w:r>
      <w:r w:rsidRPr="00804602">
        <w:rPr>
          <w:rFonts w:ascii="AGaramond" w:hAnsi="AGaramond" w:cs="Times New Roman"/>
          <w:sz w:val="18"/>
          <w:szCs w:val="22"/>
          <w:lang w:val="en-GB"/>
        </w:rPr>
        <w:t xml:space="preserve">semiotic project. This is clear from Deleuze’s preface to </w:t>
      </w:r>
      <w:r w:rsidRPr="00804602">
        <w:rPr>
          <w:rFonts w:ascii="AGaramond" w:hAnsi="AGaramond" w:cs="Times New Roman"/>
          <w:i/>
          <w:sz w:val="18"/>
          <w:szCs w:val="22"/>
          <w:lang w:val="en-GB"/>
        </w:rPr>
        <w:t xml:space="preserve">Psychoanalysis et Transversalité </w:t>
      </w:r>
      <w:r w:rsidRPr="00804602">
        <w:rPr>
          <w:rFonts w:ascii="AGaramond" w:hAnsi="AGaramond" w:cs="Times New Roman"/>
          <w:sz w:val="18"/>
          <w:szCs w:val="22"/>
          <w:lang w:val="en-GB"/>
        </w:rPr>
        <w:t>(1972), in which he credits</w:t>
      </w:r>
      <w:r w:rsidRPr="00804602">
        <w:rPr>
          <w:rFonts w:ascii="AGaramond" w:hAnsi="AGaramond" w:cs="Times New Roman"/>
          <w:i/>
          <w:sz w:val="18"/>
          <w:szCs w:val="22"/>
          <w:lang w:val="en-GB"/>
        </w:rPr>
        <w:t xml:space="preserve"> </w:t>
      </w:r>
      <w:r w:rsidRPr="00804602">
        <w:rPr>
          <w:rFonts w:ascii="AGaramond" w:hAnsi="AGaramond" w:cs="Times New Roman"/>
          <w:sz w:val="18"/>
          <w:szCs w:val="22"/>
          <w:lang w:val="en-GB"/>
        </w:rPr>
        <w:t xml:space="preserve">Guattari for the early conception of the ‘machinic’ (from Hjelmlsev’s “the semiotic machine”) allowing them to escape from the impasse of a structuralist theory of meaning. The full potential of a theory of the </w:t>
      </w:r>
      <w:r w:rsidRPr="00804602">
        <w:rPr>
          <w:rFonts w:ascii="AGaramond" w:hAnsi="AGaramond" w:cs="Times New Roman"/>
          <w:i/>
          <w:sz w:val="18"/>
          <w:szCs w:val="22"/>
          <w:lang w:val="en-GB"/>
        </w:rPr>
        <w:t>machinic</w:t>
      </w:r>
      <w:r w:rsidRPr="00804602">
        <w:rPr>
          <w:rFonts w:ascii="AGaramond" w:hAnsi="AGaramond" w:cs="Times New Roman"/>
          <w:sz w:val="18"/>
          <w:szCs w:val="22"/>
          <w:lang w:val="en-GB"/>
        </w:rPr>
        <w:t xml:space="preserve"> that cuts across psychological, linguistic or political registers can be found in Guattari’s </w:t>
      </w:r>
      <w:r w:rsidRPr="00804602">
        <w:rPr>
          <w:rFonts w:ascii="AGaramond" w:hAnsi="AGaramond" w:cs="Times New Roman"/>
          <w:i/>
          <w:sz w:val="18"/>
          <w:szCs w:val="22"/>
        </w:rPr>
        <w:t xml:space="preserve">The Machinic Unconscious: Essays in Schizoanalysis </w:t>
      </w:r>
      <w:r w:rsidRPr="00804602">
        <w:rPr>
          <w:rFonts w:ascii="AGaramond" w:hAnsi="AGaramond" w:cs="Times New Roman"/>
          <w:sz w:val="18"/>
          <w:szCs w:val="22"/>
        </w:rPr>
        <w:t>(1979), published prior to</w:t>
      </w:r>
      <w:r w:rsidRPr="00804602">
        <w:rPr>
          <w:rFonts w:ascii="AGaramond" w:hAnsi="AGaramond" w:cs="Times New Roman"/>
          <w:i/>
          <w:sz w:val="18"/>
          <w:szCs w:val="22"/>
        </w:rPr>
        <w:t xml:space="preserve"> </w:t>
      </w:r>
      <w:r w:rsidRPr="00804602">
        <w:rPr>
          <w:rFonts w:ascii="AGaramond" w:hAnsi="AGaramond" w:cs="Times New Roman"/>
          <w:i/>
          <w:sz w:val="18"/>
          <w:szCs w:val="22"/>
          <w:lang w:val="en-GB"/>
        </w:rPr>
        <w:t>A Thousand Plateaus</w:t>
      </w:r>
      <w:r w:rsidRPr="00804602">
        <w:rPr>
          <w:rFonts w:ascii="AGaramond" w:hAnsi="AGaramond" w:cs="Times New Roman"/>
          <w:sz w:val="18"/>
          <w:szCs w:val="22"/>
        </w:rPr>
        <w:t xml:space="preserve">. </w:t>
      </w:r>
      <w:r w:rsidRPr="00804602">
        <w:rPr>
          <w:rFonts w:ascii="AGaramond" w:hAnsi="AGaramond" w:cs="Times New Roman"/>
          <w:sz w:val="18"/>
          <w:szCs w:val="22"/>
          <w:lang w:val="en-GB"/>
        </w:rPr>
        <w:t xml:space="preserve">It is due to its specificity in addressing issues of semiotics and pragmatics that we refer here to Guattari’s solo work, but also because </w:t>
      </w:r>
      <w:r w:rsidRPr="00804602">
        <w:rPr>
          <w:rFonts w:ascii="AGaramond" w:hAnsi="AGaramond" w:cs="Times New Roman"/>
          <w:sz w:val="18"/>
          <w:szCs w:val="22"/>
        </w:rPr>
        <w:t xml:space="preserve">Guattari </w:t>
      </w:r>
      <w:r w:rsidRPr="00804602">
        <w:rPr>
          <w:rFonts w:ascii="AGaramond" w:hAnsi="AGaramond" w:cs="Times New Roman"/>
          <w:sz w:val="18"/>
          <w:szCs w:val="22"/>
          <w:lang w:val="en-GB"/>
        </w:rPr>
        <w:t>found in architecture – one of his passions – a valuable space for testing out and précising the conceptual and practical dimensions of his theories.</w:t>
      </w:r>
    </w:p>
  </w:footnote>
  <w:footnote w:id="2">
    <w:p w14:paraId="5A23EC6E" w14:textId="77777777" w:rsidR="00804602" w:rsidRPr="00804602" w:rsidRDefault="00804602" w:rsidP="00BD4C1C">
      <w:pPr>
        <w:pStyle w:val="FootnoteText"/>
        <w:rPr>
          <w:rFonts w:ascii="AGaramond" w:hAnsi="AGaramond"/>
          <w:sz w:val="18"/>
        </w:rPr>
      </w:pPr>
      <w:r w:rsidRPr="00804602">
        <w:rPr>
          <w:rStyle w:val="FootnoteReference"/>
          <w:rFonts w:ascii="AGaramond" w:hAnsi="AGaramond"/>
          <w:sz w:val="18"/>
        </w:rPr>
        <w:footnoteRef/>
      </w:r>
      <w:r w:rsidRPr="00804602">
        <w:rPr>
          <w:rFonts w:ascii="AGaramond" w:hAnsi="AGaramond"/>
          <w:sz w:val="18"/>
        </w:rPr>
        <w:t xml:space="preserve"> Félix Guattari, ‘Architectural Enunciation’, in </w:t>
      </w:r>
      <w:r w:rsidRPr="00804602">
        <w:rPr>
          <w:rFonts w:ascii="AGaramond" w:hAnsi="AGaramond"/>
          <w:i/>
          <w:sz w:val="18"/>
        </w:rPr>
        <w:t>Guattari: Schizoanalytic Cartographies</w:t>
      </w:r>
      <w:r w:rsidRPr="00804602">
        <w:rPr>
          <w:rFonts w:ascii="AGaramond" w:hAnsi="AGaramond"/>
          <w:sz w:val="18"/>
        </w:rPr>
        <w:t>, translated by Andrew Goffey (London: Bloomsbury, 2013 [orig. 1989]), 231–239.</w:t>
      </w:r>
    </w:p>
  </w:footnote>
  <w:footnote w:id="3">
    <w:p w14:paraId="2F32250F" w14:textId="77777777" w:rsidR="00804602" w:rsidRPr="00804602" w:rsidRDefault="00804602" w:rsidP="004D0D4F">
      <w:pPr>
        <w:pStyle w:val="FootnoteText"/>
        <w:rPr>
          <w:rFonts w:ascii="AGaramond" w:hAnsi="AGaramond"/>
          <w:sz w:val="18"/>
        </w:rPr>
      </w:pPr>
      <w:r w:rsidRPr="00804602">
        <w:rPr>
          <w:rStyle w:val="FootnoteReference"/>
          <w:rFonts w:ascii="AGaramond" w:hAnsi="AGaramond"/>
          <w:sz w:val="18"/>
        </w:rPr>
        <w:footnoteRef/>
      </w:r>
      <w:r w:rsidRPr="00804602">
        <w:rPr>
          <w:rFonts w:ascii="AGaramond" w:hAnsi="AGaramond"/>
          <w:sz w:val="18"/>
        </w:rPr>
        <w:t xml:space="preserve"> For a full understanding of Guattari's pragmatic theory of enunciation we would have to draw upon his reinterpretation of the Hjelmslevian semiotic model of substance-form-purport interactions and the reciprocal presupposition between expression and content. </w:t>
      </w:r>
    </w:p>
  </w:footnote>
  <w:footnote w:id="4">
    <w:p w14:paraId="31C475E9" w14:textId="77777777" w:rsidR="00804602" w:rsidRPr="00804602" w:rsidRDefault="00804602" w:rsidP="007453EA">
      <w:pPr>
        <w:widowControl w:val="0"/>
        <w:autoSpaceDE w:val="0"/>
        <w:autoSpaceDN w:val="0"/>
        <w:adjustRightInd w:val="0"/>
        <w:spacing w:after="0"/>
        <w:rPr>
          <w:rFonts w:ascii="AGaramond" w:hAnsi="AGaramond"/>
          <w:sz w:val="18"/>
        </w:rPr>
      </w:pPr>
      <w:r w:rsidRPr="00804602">
        <w:rPr>
          <w:rStyle w:val="FootnoteReference"/>
          <w:rFonts w:ascii="AGaramond" w:hAnsi="AGaramond"/>
          <w:sz w:val="18"/>
        </w:rPr>
        <w:footnoteRef/>
      </w:r>
      <w:r w:rsidRPr="00804602">
        <w:rPr>
          <w:rFonts w:ascii="AGaramond" w:hAnsi="AGaramond"/>
          <w:sz w:val="18"/>
        </w:rPr>
        <w:t xml:space="preserve"> In the latter sense, it is Foucault’s notion of the statement that Guattari’s pragmatics of enunciation is closest to. </w:t>
      </w:r>
    </w:p>
  </w:footnote>
  <w:footnote w:id="5">
    <w:p w14:paraId="58EC2DBB" w14:textId="77777777" w:rsidR="00804602" w:rsidRPr="00804602" w:rsidRDefault="00804602" w:rsidP="00F50FB6">
      <w:pPr>
        <w:widowControl w:val="0"/>
        <w:autoSpaceDE w:val="0"/>
        <w:autoSpaceDN w:val="0"/>
        <w:adjustRightInd w:val="0"/>
        <w:spacing w:after="0"/>
        <w:rPr>
          <w:rFonts w:ascii="AGaramond" w:hAnsi="AGaramond" w:cs="Times New Roman"/>
          <w:sz w:val="18"/>
          <w:szCs w:val="21"/>
        </w:rPr>
      </w:pPr>
      <w:r w:rsidRPr="00804602">
        <w:rPr>
          <w:rStyle w:val="FootnoteReference"/>
          <w:rFonts w:ascii="AGaramond" w:hAnsi="AGaramond"/>
          <w:sz w:val="18"/>
        </w:rPr>
        <w:footnoteRef/>
      </w:r>
      <w:r w:rsidRPr="00804602">
        <w:rPr>
          <w:rFonts w:ascii="AGaramond" w:hAnsi="AGaramond"/>
          <w:sz w:val="18"/>
        </w:rPr>
        <w:t xml:space="preserve"> It is important to distinguish between the concepts of </w:t>
      </w:r>
      <w:r w:rsidRPr="00804602">
        <w:rPr>
          <w:rFonts w:ascii="AGaramond" w:hAnsi="AGaramond"/>
          <w:i/>
          <w:sz w:val="18"/>
        </w:rPr>
        <w:t>design</w:t>
      </w:r>
      <w:r w:rsidRPr="00804602">
        <w:rPr>
          <w:rFonts w:ascii="AGaramond" w:hAnsi="AGaramond"/>
          <w:sz w:val="18"/>
        </w:rPr>
        <w:t xml:space="preserve"> and </w:t>
      </w:r>
      <w:r w:rsidRPr="00804602">
        <w:rPr>
          <w:rFonts w:ascii="AGaramond" w:hAnsi="AGaramond"/>
          <w:i/>
          <w:sz w:val="18"/>
        </w:rPr>
        <w:t>project</w:t>
      </w:r>
      <w:r w:rsidRPr="00804602">
        <w:rPr>
          <w:rFonts w:ascii="AGaramond" w:hAnsi="AGaramond"/>
          <w:sz w:val="18"/>
        </w:rPr>
        <w:t xml:space="preserve"> in architectural theory. Whereas a </w:t>
      </w:r>
      <w:r w:rsidRPr="00804602">
        <w:rPr>
          <w:rFonts w:ascii="AGaramond" w:hAnsi="AGaramond"/>
          <w:i/>
          <w:sz w:val="18"/>
        </w:rPr>
        <w:t>design</w:t>
      </w:r>
      <w:r w:rsidRPr="00804602">
        <w:rPr>
          <w:rFonts w:ascii="AGaramond" w:hAnsi="AGaramond"/>
          <w:sz w:val="18"/>
        </w:rPr>
        <w:t xml:space="preserve"> refers to the set of formal, material, legal, technical or programmatic decisions made explicit in the drawings of a building, the </w:t>
      </w:r>
      <w:r w:rsidRPr="00804602">
        <w:rPr>
          <w:rFonts w:ascii="AGaramond" w:hAnsi="AGaramond"/>
          <w:i/>
          <w:sz w:val="18"/>
        </w:rPr>
        <w:t>project</w:t>
      </w:r>
      <w:r w:rsidRPr="00804602">
        <w:rPr>
          <w:rFonts w:ascii="AGaramond" w:hAnsi="AGaramond"/>
          <w:sz w:val="18"/>
        </w:rPr>
        <w:t xml:space="preserve"> refers to something (an idea) that lies beyond the concrete design. The concept of </w:t>
      </w:r>
      <w:r w:rsidRPr="00804602">
        <w:rPr>
          <w:rFonts w:ascii="AGaramond" w:hAnsi="AGaramond"/>
          <w:i/>
          <w:sz w:val="18"/>
        </w:rPr>
        <w:t>project</w:t>
      </w:r>
      <w:r w:rsidRPr="00804602">
        <w:rPr>
          <w:rFonts w:ascii="AGaramond" w:hAnsi="AGaramond"/>
          <w:sz w:val="18"/>
        </w:rPr>
        <w:t xml:space="preserve"> carries a transformative political potential. For Pier Vittorio Aureli, it concerns “</w:t>
      </w:r>
      <w:r w:rsidRPr="00804602">
        <w:rPr>
          <w:rFonts w:ascii="AGaramond" w:hAnsi="AGaramond" w:cs="Times New Roman"/>
          <w:sz w:val="18"/>
          <w:szCs w:val="21"/>
        </w:rPr>
        <w:t xml:space="preserve">the possibility of architectural thought to propose an alternative idea of the city rather than simply confirming its existing conditions.” </w:t>
      </w:r>
      <w:r w:rsidRPr="00804602">
        <w:rPr>
          <w:rFonts w:ascii="AGaramond" w:hAnsi="AGaramond" w:cs="Times New Roman"/>
          <w:sz w:val="18"/>
          <w:szCs w:val="18"/>
        </w:rPr>
        <w:t xml:space="preserve">Pier Vittorio Aureli. </w:t>
      </w:r>
      <w:r w:rsidRPr="00804602">
        <w:rPr>
          <w:rFonts w:ascii="AGaramond" w:hAnsi="AGaramond" w:cs="Times New Roman"/>
          <w:i/>
          <w:sz w:val="18"/>
          <w:szCs w:val="18"/>
        </w:rPr>
        <w:t>The Possibility of an Absolute Architecture</w:t>
      </w:r>
      <w:r w:rsidRPr="00804602">
        <w:rPr>
          <w:rFonts w:ascii="AGaramond" w:hAnsi="AGaramond" w:cs="Times New Roman"/>
          <w:sz w:val="18"/>
          <w:szCs w:val="18"/>
        </w:rPr>
        <w:t xml:space="preserve"> (Cambridge MA: The MIT Press, 2010).</w:t>
      </w:r>
      <w:r w:rsidRPr="00804602">
        <w:rPr>
          <w:rFonts w:ascii="AGaramond" w:hAnsi="AGaramond" w:cs="Times New Roman"/>
          <w:sz w:val="18"/>
          <w:szCs w:val="21"/>
        </w:rPr>
        <w:t xml:space="preserve"> </w:t>
      </w:r>
      <w:r w:rsidRPr="00804602">
        <w:rPr>
          <w:rFonts w:ascii="AGaramond" w:hAnsi="AGaramond"/>
          <w:sz w:val="18"/>
        </w:rPr>
        <w:t xml:space="preserve">In Latin languages the </w:t>
      </w:r>
      <w:r w:rsidRPr="00804602">
        <w:rPr>
          <w:rFonts w:ascii="AGaramond" w:hAnsi="AGaramond"/>
          <w:i/>
          <w:sz w:val="18"/>
        </w:rPr>
        <w:t xml:space="preserve">progetto </w:t>
      </w:r>
      <w:r w:rsidRPr="00804602">
        <w:rPr>
          <w:rFonts w:ascii="AGaramond" w:hAnsi="AGaramond"/>
          <w:sz w:val="18"/>
        </w:rPr>
        <w:t xml:space="preserve">(Italian), </w:t>
      </w:r>
      <w:r w:rsidRPr="00804602">
        <w:rPr>
          <w:rFonts w:ascii="AGaramond" w:hAnsi="AGaramond"/>
          <w:i/>
          <w:sz w:val="18"/>
        </w:rPr>
        <w:t xml:space="preserve">proyecto </w:t>
      </w:r>
      <w:r w:rsidRPr="00804602">
        <w:rPr>
          <w:rFonts w:ascii="AGaramond" w:hAnsi="AGaramond"/>
          <w:sz w:val="18"/>
        </w:rPr>
        <w:t xml:space="preserve">(Spanish) or </w:t>
      </w:r>
      <w:r w:rsidRPr="00804602">
        <w:rPr>
          <w:rFonts w:ascii="AGaramond" w:hAnsi="AGaramond"/>
          <w:i/>
          <w:sz w:val="18"/>
        </w:rPr>
        <w:t xml:space="preserve">projecto </w:t>
      </w:r>
      <w:r w:rsidRPr="00804602">
        <w:rPr>
          <w:rFonts w:ascii="AGaramond" w:hAnsi="AGaramond"/>
          <w:sz w:val="18"/>
        </w:rPr>
        <w:t xml:space="preserve">(Portuguese) refers to these two aspects at the same time, although in English these are two different words. As a consequence, the concept of </w:t>
      </w:r>
      <w:r w:rsidRPr="00804602">
        <w:rPr>
          <w:rFonts w:ascii="AGaramond" w:hAnsi="AGaramond"/>
          <w:i/>
          <w:sz w:val="18"/>
        </w:rPr>
        <w:t>project</w:t>
      </w:r>
      <w:r w:rsidRPr="00804602">
        <w:rPr>
          <w:rFonts w:ascii="AGaramond" w:hAnsi="AGaramond"/>
          <w:sz w:val="18"/>
        </w:rPr>
        <w:t xml:space="preserve"> is often detached from the concrete material pragmatics of the </w:t>
      </w:r>
      <w:r w:rsidRPr="00804602">
        <w:rPr>
          <w:rFonts w:ascii="AGaramond" w:hAnsi="AGaramond"/>
          <w:i/>
          <w:sz w:val="18"/>
        </w:rPr>
        <w:t>design</w:t>
      </w:r>
      <w:r w:rsidRPr="00804602">
        <w:rPr>
          <w:rFonts w:ascii="AGaramond" w:hAnsi="AGaramond"/>
          <w:sz w:val="18"/>
        </w:rPr>
        <w:t xml:space="preserve"> and in particular from the political spaces these open up. As we will demonstrate, enunciation allows for a stronger anchoring of the concept of </w:t>
      </w:r>
      <w:r w:rsidRPr="00804602">
        <w:rPr>
          <w:rFonts w:ascii="AGaramond" w:hAnsi="AGaramond"/>
          <w:i/>
          <w:sz w:val="18"/>
        </w:rPr>
        <w:t>project</w:t>
      </w:r>
      <w:r w:rsidRPr="00804602">
        <w:rPr>
          <w:rFonts w:ascii="AGaramond" w:hAnsi="AGaramond"/>
          <w:sz w:val="18"/>
        </w:rPr>
        <w:t xml:space="preserve"> to its conditions of existence. </w:t>
      </w:r>
    </w:p>
  </w:footnote>
  <w:footnote w:id="6">
    <w:p w14:paraId="77A340B6" w14:textId="77777777" w:rsidR="00804602" w:rsidRPr="00804602" w:rsidRDefault="00804602">
      <w:pPr>
        <w:pStyle w:val="FootnoteText"/>
        <w:rPr>
          <w:rFonts w:ascii="AGaramond" w:hAnsi="AGaramond"/>
          <w:sz w:val="18"/>
        </w:rPr>
      </w:pPr>
      <w:r w:rsidRPr="00804602">
        <w:rPr>
          <w:rStyle w:val="FootnoteReference"/>
          <w:rFonts w:ascii="AGaramond" w:hAnsi="AGaramond"/>
          <w:sz w:val="18"/>
        </w:rPr>
        <w:footnoteRef/>
      </w:r>
      <w:r w:rsidRPr="00804602">
        <w:rPr>
          <w:rFonts w:ascii="AGaramond" w:hAnsi="AGaramond"/>
          <w:sz w:val="18"/>
        </w:rPr>
        <w:t xml:space="preserve"> </w:t>
      </w:r>
      <w:r w:rsidRPr="00804602">
        <w:rPr>
          <w:rFonts w:ascii="AGaramond" w:hAnsi="AGaramond"/>
          <w:sz w:val="18"/>
          <w:szCs w:val="20"/>
        </w:rPr>
        <w:t xml:space="preserve">It is important to note how </w:t>
      </w:r>
      <w:r w:rsidRPr="00804602">
        <w:rPr>
          <w:rFonts w:ascii="AGaramond" w:hAnsi="AGaramond"/>
          <w:sz w:val="18"/>
        </w:rPr>
        <w:t xml:space="preserve">this categorization draws on a broader set of 20 categories devised by Philip Boudon in </w:t>
      </w:r>
      <w:r w:rsidRPr="00804602">
        <w:rPr>
          <w:rFonts w:ascii="AGaramond" w:hAnsi="AGaramond"/>
          <w:i/>
          <w:sz w:val="18"/>
        </w:rPr>
        <w:t xml:space="preserve">Sur l’Éspace Architecturel. Essai d’Épistemologie de l’Architecture </w:t>
      </w:r>
      <w:r w:rsidRPr="00804602">
        <w:rPr>
          <w:rFonts w:ascii="AGaramond" w:hAnsi="AGaramond"/>
          <w:sz w:val="18"/>
        </w:rPr>
        <w:t xml:space="preserve">(Paris, Dunod, 1971); for Guattari the eight categories he devised corresponded to what he thought to be the most relevant assemblages traversing architecture. Despite this fact, he notices how, from the perspective of enunciation, categorizations such as these are potentially infinite. </w:t>
      </w:r>
    </w:p>
  </w:footnote>
  <w:footnote w:id="7">
    <w:p w14:paraId="4CF687E4" w14:textId="77777777" w:rsidR="00804602" w:rsidRPr="00804602" w:rsidRDefault="00804602" w:rsidP="00680039">
      <w:pPr>
        <w:spacing w:after="0"/>
        <w:rPr>
          <w:rFonts w:ascii="AGaramond" w:hAnsi="AGaramond"/>
          <w:sz w:val="18"/>
        </w:rPr>
      </w:pPr>
      <w:r w:rsidRPr="00804602">
        <w:rPr>
          <w:rStyle w:val="FootnoteReference"/>
          <w:rFonts w:ascii="AGaramond" w:hAnsi="AGaramond"/>
          <w:sz w:val="18"/>
        </w:rPr>
        <w:footnoteRef/>
      </w:r>
      <w:r w:rsidRPr="00804602">
        <w:rPr>
          <w:rFonts w:ascii="AGaramond" w:hAnsi="AGaramond"/>
          <w:sz w:val="18"/>
        </w:rPr>
        <w:t xml:space="preserve"> This is actually a far more complex issue, requiring reference to the concept of </w:t>
      </w:r>
      <w:r w:rsidRPr="00804602">
        <w:rPr>
          <w:rFonts w:ascii="AGaramond" w:hAnsi="AGaramond"/>
          <w:i/>
          <w:sz w:val="18"/>
        </w:rPr>
        <w:t>formalization</w:t>
      </w:r>
      <w:r w:rsidRPr="00804602">
        <w:rPr>
          <w:rFonts w:ascii="AGaramond" w:hAnsi="AGaramond"/>
          <w:sz w:val="18"/>
        </w:rPr>
        <w:t xml:space="preserve">: within Guattari's semiotics, </w:t>
      </w:r>
      <w:r w:rsidRPr="00804602">
        <w:rPr>
          <w:rFonts w:ascii="AGaramond" w:hAnsi="AGaramond"/>
          <w:i/>
          <w:sz w:val="18"/>
        </w:rPr>
        <w:t>formalization</w:t>
      </w:r>
      <w:r w:rsidRPr="00804602">
        <w:rPr>
          <w:rFonts w:ascii="AGaramond" w:hAnsi="AGaramond"/>
          <w:sz w:val="18"/>
        </w:rPr>
        <w:t xml:space="preserve"> corresponds to the distinct processes at work in each given sign and which are mutually presupposing. The sign is the result of the interaction between the dimensions of content and expression with the dimensions of non-formed matter, substance and form. This allows Guattari to discuss enunciation – say, the signifying assemblage of enunciation manifest in the cruciform plan of a Catholic Church that we mentioned above – according to two distinct yet reciprocally presupposing processes of formalization: a </w:t>
      </w:r>
      <w:r w:rsidRPr="00804602">
        <w:rPr>
          <w:rFonts w:ascii="AGaramond" w:hAnsi="AGaramond"/>
          <w:i/>
          <w:sz w:val="18"/>
        </w:rPr>
        <w:t>formalization</w:t>
      </w:r>
      <w:r w:rsidRPr="00804602">
        <w:rPr>
          <w:rFonts w:ascii="AGaramond" w:hAnsi="AGaramond"/>
          <w:sz w:val="18"/>
        </w:rPr>
        <w:t xml:space="preserve"> of content (the history of the cross in Catholicism) and a formalization of expression (the history of the cruciform plan). This distinction is paramount in semiotics, as it breaks with the understanding of content and expression on the basis of</w:t>
      </w:r>
      <w:r w:rsidRPr="00804602">
        <w:rPr>
          <w:rFonts w:ascii="AGaramond" w:hAnsi="AGaramond" w:cs="Times New Roman"/>
          <w:sz w:val="18"/>
        </w:rPr>
        <w:t xml:space="preserve"> </w:t>
      </w:r>
      <w:r w:rsidRPr="00804602">
        <w:rPr>
          <w:rFonts w:ascii="AGaramond" w:hAnsi="AGaramond" w:cs="Courier"/>
          <w:sz w:val="18"/>
          <w:szCs w:val="20"/>
        </w:rPr>
        <w:t xml:space="preserve">an association, relation of correspondence or representation. </w:t>
      </w:r>
      <w:r w:rsidRPr="00804602">
        <w:rPr>
          <w:rFonts w:ascii="AGaramond" w:hAnsi="AGaramond"/>
          <w:sz w:val="18"/>
        </w:rPr>
        <w:t>Such a semiotic framework is derived from Louis Hjelmslev's theory of the sign, cf. Louis Hjelmslev</w:t>
      </w:r>
      <w:r w:rsidRPr="00804602">
        <w:rPr>
          <w:rFonts w:ascii="AGaramond" w:hAnsi="AGaramond" w:cs="Times New Roman"/>
          <w:sz w:val="18"/>
        </w:rPr>
        <w:t>,</w:t>
      </w:r>
      <w:r w:rsidRPr="00804602">
        <w:rPr>
          <w:rFonts w:ascii="AGaramond" w:hAnsi="AGaramond" w:cs="Times New Roman"/>
          <w:i/>
          <w:sz w:val="18"/>
        </w:rPr>
        <w:t xml:space="preserve"> Prolegomena to a Theory of Language </w:t>
      </w:r>
      <w:r w:rsidRPr="00804602">
        <w:rPr>
          <w:rFonts w:ascii="AGaramond" w:hAnsi="AGaramond" w:cs="Times New Roman"/>
          <w:sz w:val="18"/>
        </w:rPr>
        <w:t>(</w:t>
      </w:r>
      <w:r w:rsidRPr="00804602">
        <w:rPr>
          <w:rFonts w:ascii="AGaramond" w:hAnsi="AGaramond" w:cs="Times New Roman"/>
          <w:iCs/>
          <w:sz w:val="18"/>
        </w:rPr>
        <w:t>1943)</w:t>
      </w:r>
      <w:r w:rsidRPr="00804602">
        <w:rPr>
          <w:rFonts w:ascii="AGaramond" w:hAnsi="AGaramond"/>
          <w:sz w:val="18"/>
        </w:rPr>
        <w:t xml:space="preserve">. </w:t>
      </w:r>
    </w:p>
  </w:footnote>
  <w:footnote w:id="8">
    <w:p w14:paraId="28C826BF" w14:textId="77777777" w:rsidR="00804602" w:rsidRPr="00804602" w:rsidRDefault="00804602" w:rsidP="006A261A">
      <w:pPr>
        <w:spacing w:after="0"/>
        <w:rPr>
          <w:rFonts w:ascii="AGaramond" w:hAnsi="AGaramond"/>
          <w:sz w:val="18"/>
        </w:rPr>
      </w:pPr>
      <w:r w:rsidRPr="00804602">
        <w:rPr>
          <w:rStyle w:val="FootnoteReference"/>
          <w:rFonts w:ascii="AGaramond" w:hAnsi="AGaramond"/>
          <w:sz w:val="18"/>
        </w:rPr>
        <w:footnoteRef/>
      </w:r>
      <w:r w:rsidRPr="00804602">
        <w:rPr>
          <w:rFonts w:ascii="AGaramond" w:hAnsi="AGaramond"/>
          <w:sz w:val="18"/>
        </w:rPr>
        <w:t xml:space="preserve"> The concept of polyphony is a concept developed by Bakhtin in </w:t>
      </w:r>
      <w:r w:rsidRPr="00804602">
        <w:rPr>
          <w:rStyle w:val="Emphasis"/>
          <w:rFonts w:ascii="AGaramond" w:hAnsi="AGaramond"/>
          <w:sz w:val="18"/>
        </w:rPr>
        <w:t>Problems of Dostoevsky’s Poetics</w:t>
      </w:r>
      <w:r w:rsidRPr="00804602">
        <w:rPr>
          <w:rFonts w:ascii="AGaramond" w:hAnsi="AGaramond"/>
          <w:sz w:val="18"/>
        </w:rPr>
        <w:t xml:space="preserve"> (1963). Borrowed from music, it means multiples voices. It refers to the diversity of voices within a novel and their autonomy from a common and single denominator, in the form of the voice of the author. </w:t>
      </w:r>
    </w:p>
  </w:footnote>
  <w:footnote w:id="9">
    <w:p w14:paraId="21833CF6" w14:textId="77777777" w:rsidR="00804602" w:rsidRPr="00804602" w:rsidRDefault="00804602" w:rsidP="00647FB5">
      <w:pPr>
        <w:pStyle w:val="FootnoteText"/>
        <w:rPr>
          <w:rFonts w:ascii="AGaramond" w:hAnsi="AGaramond"/>
          <w:sz w:val="18"/>
        </w:rPr>
      </w:pPr>
      <w:r w:rsidRPr="00804602">
        <w:rPr>
          <w:rStyle w:val="FootnoteReference"/>
          <w:rFonts w:ascii="AGaramond" w:hAnsi="AGaramond"/>
          <w:sz w:val="18"/>
        </w:rPr>
        <w:footnoteRef/>
      </w:r>
      <w:r w:rsidRPr="00804602">
        <w:rPr>
          <w:rFonts w:ascii="AGaramond" w:hAnsi="AGaramond"/>
          <w:sz w:val="18"/>
        </w:rPr>
        <w:t xml:space="preserve"> Hermann Muthesius, </w:t>
      </w:r>
      <w:r w:rsidRPr="00804602">
        <w:rPr>
          <w:rFonts w:ascii="AGaramond" w:hAnsi="AGaramond"/>
          <w:i/>
          <w:sz w:val="18"/>
        </w:rPr>
        <w:t>The English House</w:t>
      </w:r>
      <w:r w:rsidRPr="00804602">
        <w:rPr>
          <w:rFonts w:ascii="AGaramond" w:hAnsi="AGaramond"/>
          <w:sz w:val="18"/>
        </w:rPr>
        <w:t>, edited by Dennis Sharp (London: Frances Lincoln, 2007 [orig. 1904]).</w:t>
      </w:r>
    </w:p>
  </w:footnote>
  <w:footnote w:id="10">
    <w:p w14:paraId="42C67F76" w14:textId="77777777" w:rsidR="00804602" w:rsidRPr="00804602" w:rsidRDefault="00804602" w:rsidP="00647FB5">
      <w:pPr>
        <w:pStyle w:val="FootnoteText"/>
        <w:rPr>
          <w:rFonts w:ascii="AGaramond" w:hAnsi="AGaramond"/>
          <w:sz w:val="18"/>
        </w:rPr>
      </w:pPr>
      <w:r w:rsidRPr="00804602">
        <w:rPr>
          <w:rStyle w:val="FootnoteReference"/>
          <w:rFonts w:ascii="AGaramond" w:hAnsi="AGaramond"/>
          <w:sz w:val="18"/>
        </w:rPr>
        <w:footnoteRef/>
      </w:r>
      <w:r w:rsidRPr="00804602">
        <w:rPr>
          <w:rFonts w:ascii="AGaramond" w:hAnsi="AGaramond"/>
          <w:sz w:val="18"/>
        </w:rPr>
        <w:t xml:space="preserve"> Nikolaus Pevsner, </w:t>
      </w:r>
      <w:r w:rsidRPr="00804602">
        <w:rPr>
          <w:rFonts w:ascii="AGaramond" w:hAnsi="AGaramond"/>
          <w:i/>
          <w:sz w:val="18"/>
        </w:rPr>
        <w:t>Pioneers of Modern Design: From William Morris to Walter Gropius</w:t>
      </w:r>
      <w:r w:rsidRPr="00804602">
        <w:rPr>
          <w:rFonts w:ascii="AGaramond" w:hAnsi="AGaramond"/>
          <w:sz w:val="18"/>
        </w:rPr>
        <w:t xml:space="preserve"> (New Haven, Conn: Yale University Press, 2005 [orig. 1936]).</w:t>
      </w:r>
    </w:p>
  </w:footnote>
  <w:footnote w:id="11">
    <w:p w14:paraId="5414A064" w14:textId="77777777" w:rsidR="00804602" w:rsidRPr="00804602" w:rsidRDefault="00804602" w:rsidP="00680039">
      <w:pPr>
        <w:pStyle w:val="FootnoteText"/>
        <w:rPr>
          <w:rFonts w:ascii="AGaramond" w:hAnsi="AGaramond"/>
          <w:sz w:val="18"/>
        </w:rPr>
      </w:pPr>
      <w:r w:rsidRPr="00804602">
        <w:rPr>
          <w:rStyle w:val="FootnoteReference"/>
          <w:rFonts w:ascii="AGaramond" w:hAnsi="AGaramond"/>
          <w:sz w:val="18"/>
        </w:rPr>
        <w:footnoteRef/>
      </w:r>
      <w:r w:rsidRPr="00804602">
        <w:rPr>
          <w:rFonts w:ascii="AGaramond" w:hAnsi="AGaramond"/>
          <w:sz w:val="18"/>
        </w:rPr>
        <w:t xml:space="preserve"> In particular Hitchcock identifies a clear reference to All Saints Clergy House in Margaret Street, London, and St. Saviour’s Vicarage in Coalpitheath, Gloucestershire, cf. Henry-Russell Hitchcock, </w:t>
      </w:r>
      <w:r w:rsidRPr="00804602">
        <w:rPr>
          <w:rFonts w:ascii="AGaramond" w:hAnsi="AGaramond"/>
          <w:i/>
          <w:sz w:val="18"/>
        </w:rPr>
        <w:t>Architecture, Nineteenth and Twentieth Centuries</w:t>
      </w:r>
      <w:r w:rsidRPr="00804602">
        <w:rPr>
          <w:rFonts w:ascii="AGaramond" w:hAnsi="AGaramond"/>
          <w:sz w:val="18"/>
        </w:rPr>
        <w:t xml:space="preserve"> (Harmondsworth, Eng: Penguin Books, 1977 [orig. 1958]).</w:t>
      </w:r>
    </w:p>
  </w:footnote>
  <w:footnote w:id="12">
    <w:p w14:paraId="365A03F4" w14:textId="77777777" w:rsidR="00804602" w:rsidRPr="00804602" w:rsidRDefault="00804602" w:rsidP="00115EEA">
      <w:pPr>
        <w:pStyle w:val="FootnoteText"/>
        <w:rPr>
          <w:rFonts w:ascii="AGaramond" w:hAnsi="AGaramond"/>
          <w:sz w:val="18"/>
        </w:rPr>
      </w:pPr>
      <w:r w:rsidRPr="00804602">
        <w:rPr>
          <w:rStyle w:val="FootnoteReference"/>
          <w:rFonts w:ascii="AGaramond" w:hAnsi="AGaramond"/>
          <w:sz w:val="18"/>
        </w:rPr>
        <w:footnoteRef/>
      </w:r>
      <w:r w:rsidRPr="00804602">
        <w:rPr>
          <w:rFonts w:ascii="AGaramond" w:hAnsi="AGaramond"/>
          <w:sz w:val="18"/>
        </w:rPr>
        <w:t xml:space="preserve"> Robert Kerr, </w:t>
      </w:r>
      <w:r w:rsidRPr="00804602">
        <w:rPr>
          <w:rFonts w:ascii="AGaramond" w:hAnsi="AGaramond"/>
          <w:i/>
          <w:sz w:val="18"/>
        </w:rPr>
        <w:t>The Gentleman’s House</w:t>
      </w:r>
      <w:r w:rsidRPr="00804602">
        <w:rPr>
          <w:rFonts w:ascii="AGaramond" w:hAnsi="AGaramond"/>
          <w:sz w:val="18"/>
        </w:rPr>
        <w:t xml:space="preserve"> (London: J. Murray, 1864).</w:t>
      </w:r>
    </w:p>
  </w:footnote>
  <w:footnote w:id="13">
    <w:p w14:paraId="3656897F" w14:textId="77777777" w:rsidR="00804602" w:rsidRPr="00804602" w:rsidRDefault="00804602" w:rsidP="00594763">
      <w:pPr>
        <w:pStyle w:val="FootnoteText"/>
        <w:rPr>
          <w:rFonts w:ascii="AGaramond" w:hAnsi="AGaramond"/>
          <w:sz w:val="18"/>
        </w:rPr>
      </w:pPr>
      <w:r w:rsidRPr="00804602">
        <w:rPr>
          <w:rStyle w:val="FootnoteReference"/>
          <w:rFonts w:ascii="AGaramond" w:hAnsi="AGaramond"/>
          <w:sz w:val="18"/>
        </w:rPr>
        <w:footnoteRef/>
      </w:r>
      <w:r w:rsidRPr="00804602">
        <w:rPr>
          <w:rFonts w:ascii="AGaramond" w:hAnsi="AGaramond"/>
          <w:sz w:val="18"/>
        </w:rPr>
        <w:t xml:space="preserve"> Robin Evans, </w:t>
      </w:r>
      <w:r w:rsidRPr="00804602">
        <w:rPr>
          <w:rFonts w:ascii="AGaramond" w:hAnsi="AGaramond"/>
          <w:i/>
          <w:sz w:val="18"/>
        </w:rPr>
        <w:t>Translations from Drawing to Building and Other Essays</w:t>
      </w:r>
      <w:r w:rsidRPr="00804602">
        <w:rPr>
          <w:rFonts w:ascii="AGaramond" w:hAnsi="AGaramond"/>
          <w:sz w:val="18"/>
        </w:rPr>
        <w:t xml:space="preserve"> (London: Architectural Association, 1997 [orig. 1978]) 55–91.</w:t>
      </w:r>
    </w:p>
  </w:footnote>
  <w:footnote w:id="14">
    <w:p w14:paraId="30E5AF85" w14:textId="77777777" w:rsidR="00804602" w:rsidRPr="00804602" w:rsidRDefault="00804602" w:rsidP="00B718EF">
      <w:pPr>
        <w:pStyle w:val="Heading1"/>
        <w:spacing w:before="2" w:after="2"/>
        <w:rPr>
          <w:rFonts w:ascii="AGaramond" w:hAnsi="AGaramond"/>
          <w:b w:val="0"/>
          <w:sz w:val="18"/>
        </w:rPr>
      </w:pPr>
      <w:r w:rsidRPr="00804602">
        <w:rPr>
          <w:rStyle w:val="FootnoteReference"/>
          <w:rFonts w:ascii="AGaramond" w:hAnsi="AGaramond"/>
          <w:b w:val="0"/>
          <w:sz w:val="18"/>
        </w:rPr>
        <w:footnoteRef/>
      </w:r>
      <w:r w:rsidRPr="00804602">
        <w:rPr>
          <w:rFonts w:ascii="AGaramond" w:hAnsi="AGaramond"/>
          <w:b w:val="0"/>
          <w:sz w:val="18"/>
        </w:rPr>
        <w:t xml:space="preserve"> ‘You must expect at first that there will be difficulties and inconsistencies in carrying out the new style; but they will soon be conquered if you attempt not too much at once. Do not be afraid of incongruities—do not think of unities of</w:t>
      </w:r>
      <w:r w:rsidRPr="00804602">
        <w:rPr>
          <w:rStyle w:val="pagenum"/>
          <w:rFonts w:ascii="AGaramond" w:hAnsi="AGaramond"/>
          <w:b w:val="0"/>
          <w:sz w:val="18"/>
        </w:rPr>
        <w:t xml:space="preserve"> </w:t>
      </w:r>
      <w:r w:rsidRPr="00804602">
        <w:rPr>
          <w:rFonts w:ascii="AGaramond" w:hAnsi="AGaramond"/>
          <w:b w:val="0"/>
          <w:sz w:val="18"/>
        </w:rPr>
        <w:t xml:space="preserve">effect. Introduce your Gothic line by line and stone by stone; never mind mixing it with your present architecture; your existing houses will be none the worse for having little bits of better work fitted to them; build a porch, or point a window, if you can do nothing else; and remember that it is the glory of Gothic architecture that it can do </w:t>
      </w:r>
      <w:r w:rsidRPr="00804602">
        <w:rPr>
          <w:rFonts w:ascii="AGaramond" w:hAnsi="AGaramond"/>
          <w:b w:val="0"/>
          <w:i/>
          <w:sz w:val="18"/>
        </w:rPr>
        <w:t>anything</w:t>
      </w:r>
      <w:r w:rsidRPr="00804602">
        <w:rPr>
          <w:rFonts w:ascii="AGaramond" w:hAnsi="AGaramond"/>
          <w:b w:val="0"/>
          <w:sz w:val="18"/>
        </w:rPr>
        <w:t xml:space="preserve">. Whatever you really and seriously want, Gothic will do for you; but it must be an </w:t>
      </w:r>
      <w:r w:rsidRPr="00804602">
        <w:rPr>
          <w:rFonts w:ascii="AGaramond" w:hAnsi="AGaramond"/>
          <w:b w:val="0"/>
          <w:i/>
          <w:sz w:val="18"/>
        </w:rPr>
        <w:t>earnest</w:t>
      </w:r>
      <w:r w:rsidRPr="00804602">
        <w:rPr>
          <w:rFonts w:ascii="AGaramond" w:hAnsi="AGaramond"/>
          <w:b w:val="0"/>
          <w:sz w:val="18"/>
        </w:rPr>
        <w:t xml:space="preserve"> want. It is its pride to accommodate itself to your needs; and the one general law under which it acts is simply </w:t>
      </w:r>
      <w:proofErr w:type="gramStart"/>
      <w:r w:rsidRPr="00804602">
        <w:rPr>
          <w:rFonts w:ascii="AGaramond" w:hAnsi="AGaramond"/>
          <w:b w:val="0"/>
          <w:sz w:val="18"/>
        </w:rPr>
        <w:t>this,—</w:t>
      </w:r>
      <w:proofErr w:type="gramEnd"/>
      <w:r w:rsidRPr="00804602">
        <w:rPr>
          <w:rFonts w:ascii="AGaramond" w:hAnsi="AGaramond"/>
          <w:b w:val="0"/>
          <w:sz w:val="18"/>
        </w:rPr>
        <w:t xml:space="preserve">find out what will make you comfortable, build that in the strongest and boldest way, and then set your fancy free in the decoration of it. Don't do anything to imitate this cathedral or that, however beautiful. Do what is convenient; and if the form be a new one, so much the better; then set your mason's wits to work, to find out some new way of treating it.’ John Ruskin, </w:t>
      </w:r>
      <w:r w:rsidRPr="00804602">
        <w:rPr>
          <w:rFonts w:ascii="AGaramond" w:hAnsi="AGaramond"/>
          <w:b w:val="0"/>
          <w:i/>
          <w:sz w:val="18"/>
        </w:rPr>
        <w:t>Lectures on Architecture and Painting, Delivered at Edinburgh in November 1853</w:t>
      </w:r>
      <w:r w:rsidRPr="00804602">
        <w:rPr>
          <w:rFonts w:ascii="AGaramond" w:hAnsi="AGaramond"/>
          <w:b w:val="0"/>
          <w:sz w:val="18"/>
        </w:rPr>
        <w:t xml:space="preserve"> (London: Smith, Elder, and Co, 1854).</w:t>
      </w:r>
    </w:p>
  </w:footnote>
  <w:footnote w:id="15">
    <w:p w14:paraId="768B47BF" w14:textId="77777777" w:rsidR="00804602" w:rsidRPr="00804602" w:rsidRDefault="00804602" w:rsidP="001A7F55">
      <w:pPr>
        <w:pStyle w:val="FootnoteText"/>
        <w:rPr>
          <w:rFonts w:ascii="AGaramond" w:hAnsi="AGaramond"/>
          <w:sz w:val="18"/>
        </w:rPr>
      </w:pPr>
      <w:r w:rsidRPr="00804602">
        <w:rPr>
          <w:rStyle w:val="FootnoteReference"/>
          <w:rFonts w:ascii="AGaramond" w:hAnsi="AGaramond"/>
          <w:sz w:val="18"/>
        </w:rPr>
        <w:footnoteRef/>
      </w:r>
      <w:r w:rsidRPr="00804602">
        <w:rPr>
          <w:rFonts w:ascii="AGaramond" w:hAnsi="AGaramond"/>
          <w:sz w:val="18"/>
        </w:rPr>
        <w:t xml:space="preserve"> </w:t>
      </w:r>
      <w:r w:rsidRPr="00804602">
        <w:rPr>
          <w:rStyle w:val="reference-text"/>
          <w:rFonts w:ascii="AGaramond" w:hAnsi="AGaramond"/>
          <w:sz w:val="18"/>
        </w:rPr>
        <w:t xml:space="preserve">John Brandon-Jones, ‘The Work of Philip Webb and Norman Shaw’, </w:t>
      </w:r>
      <w:r w:rsidRPr="00804602">
        <w:rPr>
          <w:rStyle w:val="reference-text"/>
          <w:rFonts w:ascii="AGaramond" w:hAnsi="AGaramond"/>
          <w:i/>
          <w:sz w:val="18"/>
        </w:rPr>
        <w:t>Architectural Association Journal</w:t>
      </w:r>
      <w:r w:rsidRPr="00804602">
        <w:rPr>
          <w:rStyle w:val="reference-text"/>
          <w:rFonts w:ascii="AGaramond" w:hAnsi="AGaramond"/>
          <w:sz w:val="18"/>
        </w:rPr>
        <w:t>, June 1955, 9–21; July 1955, 40–5.</w:t>
      </w:r>
    </w:p>
  </w:footnote>
  <w:footnote w:id="16">
    <w:p w14:paraId="584C60B3" w14:textId="77777777" w:rsidR="00804602" w:rsidRPr="00804602" w:rsidRDefault="00804602" w:rsidP="0085516D">
      <w:pPr>
        <w:pStyle w:val="FootnoteText"/>
        <w:rPr>
          <w:rFonts w:ascii="AGaramond" w:hAnsi="AGaramond"/>
          <w:sz w:val="18"/>
        </w:rPr>
      </w:pPr>
      <w:r w:rsidRPr="00804602">
        <w:rPr>
          <w:rStyle w:val="FootnoteReference"/>
          <w:rFonts w:ascii="AGaramond" w:hAnsi="AGaramond"/>
          <w:sz w:val="18"/>
        </w:rPr>
        <w:footnoteRef/>
      </w:r>
      <w:r w:rsidRPr="00804602">
        <w:rPr>
          <w:rFonts w:ascii="AGaramond" w:hAnsi="AGaramond"/>
          <w:sz w:val="18"/>
        </w:rPr>
        <w:t xml:space="preserve"> Félix Guattari, ‘Refrains and Existential Affects’, in </w:t>
      </w:r>
      <w:r w:rsidRPr="00804602">
        <w:rPr>
          <w:rFonts w:ascii="AGaramond" w:hAnsi="AGaramond"/>
          <w:i/>
          <w:sz w:val="18"/>
        </w:rPr>
        <w:t>Guattari: Schizoanalytic Cartographies</w:t>
      </w:r>
      <w:r w:rsidRPr="00804602">
        <w:rPr>
          <w:rFonts w:ascii="AGaramond" w:hAnsi="AGaramond"/>
          <w:sz w:val="18"/>
        </w:rPr>
        <w:t>, translated by Andrew Goffey (London: Bloomsbury, 2013 [orig. 1989]), 201.</w:t>
      </w:r>
    </w:p>
  </w:footnote>
  <w:footnote w:id="17">
    <w:p w14:paraId="052685AD" w14:textId="77777777" w:rsidR="00804602" w:rsidRPr="00804602" w:rsidRDefault="00804602">
      <w:pPr>
        <w:pStyle w:val="FootnoteText"/>
        <w:rPr>
          <w:rFonts w:ascii="AGaramond" w:hAnsi="AGaramond"/>
          <w:sz w:val="18"/>
        </w:rPr>
      </w:pPr>
      <w:r w:rsidRPr="00804602">
        <w:rPr>
          <w:rStyle w:val="FootnoteReference"/>
          <w:rFonts w:ascii="AGaramond" w:hAnsi="AGaramond"/>
          <w:sz w:val="18"/>
        </w:rPr>
        <w:footnoteRef/>
      </w:r>
      <w:r w:rsidRPr="00804602">
        <w:rPr>
          <w:rFonts w:ascii="AGaramond" w:hAnsi="AGaramond"/>
          <w:sz w:val="18"/>
        </w:rPr>
        <w:t xml:space="preserve"> We should note that terms such as </w:t>
      </w:r>
      <w:r w:rsidRPr="00804602">
        <w:rPr>
          <w:rFonts w:ascii="AGaramond" w:hAnsi="AGaramond"/>
          <w:i/>
          <w:sz w:val="18"/>
        </w:rPr>
        <w:t>composition</w:t>
      </w:r>
      <w:r w:rsidRPr="00804602">
        <w:rPr>
          <w:rFonts w:ascii="AGaramond" w:hAnsi="AGaramond"/>
          <w:sz w:val="18"/>
        </w:rPr>
        <w:t xml:space="preserve"> or </w:t>
      </w:r>
      <w:r w:rsidRPr="00804602">
        <w:rPr>
          <w:rFonts w:ascii="AGaramond" w:hAnsi="AGaramond"/>
          <w:i/>
          <w:sz w:val="18"/>
        </w:rPr>
        <w:t>affect</w:t>
      </w:r>
      <w:r w:rsidRPr="00804602">
        <w:rPr>
          <w:rFonts w:ascii="AGaramond" w:hAnsi="AGaramond"/>
          <w:sz w:val="18"/>
        </w:rPr>
        <w:t xml:space="preserve"> enter Guattari’s lexicon most probably through the influence of Gilles Deleuze and his reading of Spinoza, cf. Gilles </w:t>
      </w:r>
      <w:r w:rsidRPr="00804602">
        <w:rPr>
          <w:rFonts w:ascii="AGaramond" w:hAnsi="AGaramond" w:cs="AGaramond"/>
          <w:sz w:val="18"/>
          <w:szCs w:val="23"/>
        </w:rPr>
        <w:t xml:space="preserve">Deleuze and Félix Guattari. </w:t>
      </w:r>
      <w:r w:rsidRPr="00804602">
        <w:rPr>
          <w:rFonts w:ascii="AGaramond" w:hAnsi="AGaramond" w:cs="Adobe Garamond"/>
          <w:i/>
          <w:iCs/>
          <w:sz w:val="18"/>
          <w:szCs w:val="23"/>
        </w:rPr>
        <w:t xml:space="preserve">A Thousand Plateaus: Capitalism and Schizophrenia </w:t>
      </w:r>
      <w:r w:rsidRPr="00804602">
        <w:rPr>
          <w:rFonts w:ascii="AGaramond" w:hAnsi="AGaramond" w:cs="Adobe Garamond"/>
          <w:iCs/>
          <w:sz w:val="18"/>
          <w:szCs w:val="23"/>
        </w:rPr>
        <w:t>(</w:t>
      </w:r>
      <w:r w:rsidRPr="00804602">
        <w:rPr>
          <w:rFonts w:ascii="AGaramond" w:hAnsi="AGaramond" w:cs="AGaramond"/>
          <w:sz w:val="18"/>
          <w:szCs w:val="23"/>
        </w:rPr>
        <w:t>London: Continuum, 2008), 257</w:t>
      </w:r>
      <w:r w:rsidRPr="00804602">
        <w:rPr>
          <w:rFonts w:ascii="AGaramond" w:hAnsi="AGaramond"/>
          <w:sz w:val="18"/>
        </w:rPr>
        <w:t>. Our concern, however, is not with the genealogy of concepts used by two authors that mutually influenced each other, but with making use of Guattari’s work on semiotics and enunciation. This was a work initiated before his collaboration with Deleuze, and remained central both to his solo writings and to those written in partnership with other authors.</w:t>
      </w:r>
    </w:p>
  </w:footnote>
  <w:footnote w:id="18">
    <w:p w14:paraId="31E2FEBD" w14:textId="77777777" w:rsidR="00804602" w:rsidRPr="00804602" w:rsidRDefault="00804602" w:rsidP="006576EA">
      <w:pPr>
        <w:pStyle w:val="FootnoteText"/>
        <w:rPr>
          <w:rFonts w:ascii="AGaramond" w:hAnsi="AGaramond"/>
          <w:sz w:val="18"/>
        </w:rPr>
      </w:pPr>
      <w:r w:rsidRPr="00804602">
        <w:rPr>
          <w:rStyle w:val="FootnoteReference"/>
          <w:rFonts w:ascii="AGaramond" w:hAnsi="AGaramond"/>
          <w:sz w:val="18"/>
        </w:rPr>
        <w:footnoteRef/>
      </w:r>
      <w:r w:rsidRPr="00804602">
        <w:rPr>
          <w:rFonts w:ascii="AGaramond" w:hAnsi="AGaramond"/>
          <w:sz w:val="18"/>
        </w:rPr>
        <w:t xml:space="preserve"> It is important to distinguish between a-signifying and non-signifying. For Guattari the matter is not to avoid signification but to understand it as a function of a more abstract relation between bodies. It is such relation that is a-signifying.</w:t>
      </w:r>
    </w:p>
  </w:footnote>
  <w:footnote w:id="19">
    <w:p w14:paraId="6C5357AC" w14:textId="77777777" w:rsidR="00804602" w:rsidRPr="00804602" w:rsidRDefault="00804602" w:rsidP="003F258F">
      <w:pPr>
        <w:pStyle w:val="FootnoteText"/>
        <w:rPr>
          <w:rFonts w:ascii="AGaramond" w:hAnsi="AGaramond"/>
          <w:sz w:val="18"/>
        </w:rPr>
      </w:pPr>
      <w:r w:rsidRPr="00804602">
        <w:rPr>
          <w:rStyle w:val="FootnoteReference"/>
          <w:rFonts w:ascii="AGaramond" w:hAnsi="AGaramond"/>
          <w:sz w:val="18"/>
        </w:rPr>
        <w:footnoteRef/>
      </w:r>
      <w:r w:rsidRPr="00804602">
        <w:rPr>
          <w:rFonts w:ascii="AGaramond" w:hAnsi="AGaramond"/>
          <w:sz w:val="18"/>
        </w:rPr>
        <w:t xml:space="preserve"> Félix Guattari, ‘Refrains and Existential Affects’, in </w:t>
      </w:r>
      <w:r w:rsidRPr="00804602">
        <w:rPr>
          <w:rFonts w:ascii="AGaramond" w:hAnsi="AGaramond"/>
          <w:i/>
          <w:sz w:val="18"/>
        </w:rPr>
        <w:t>Guattari: Schizoanalytic Cartographies</w:t>
      </w:r>
      <w:r w:rsidRPr="00804602">
        <w:rPr>
          <w:rFonts w:ascii="AGaramond" w:hAnsi="AGaramond"/>
          <w:sz w:val="18"/>
        </w:rPr>
        <w:t>, translated by Andrew Goffey (London: Bloomsbury, 2013 [orig. 1989]), 209.</w:t>
      </w:r>
    </w:p>
  </w:footnote>
  <w:footnote w:id="20">
    <w:p w14:paraId="54575878" w14:textId="77777777" w:rsidR="00804602" w:rsidRPr="00804602" w:rsidRDefault="00804602" w:rsidP="008F568A">
      <w:pPr>
        <w:pStyle w:val="FootnoteText"/>
        <w:rPr>
          <w:rFonts w:ascii="AGaramond" w:hAnsi="AGaramond"/>
          <w:sz w:val="18"/>
        </w:rPr>
      </w:pPr>
      <w:r w:rsidRPr="00804602">
        <w:rPr>
          <w:rStyle w:val="FootnoteReference"/>
          <w:rFonts w:ascii="AGaramond" w:hAnsi="AGaramond"/>
          <w:sz w:val="18"/>
        </w:rPr>
        <w:footnoteRef/>
      </w:r>
      <w:r w:rsidRPr="00804602">
        <w:rPr>
          <w:rFonts w:ascii="AGaramond" w:hAnsi="AGaramond"/>
          <w:sz w:val="18"/>
        </w:rPr>
        <w:t xml:space="preserve"> For an excellent exposition of these politics of a-signifying operations in architecture see </w:t>
      </w:r>
      <w:r w:rsidRPr="00804602">
        <w:rPr>
          <w:rStyle w:val="il"/>
          <w:rFonts w:ascii="AGaramond" w:hAnsi="AGaramond"/>
          <w:sz w:val="18"/>
        </w:rPr>
        <w:t>Adrian</w:t>
      </w:r>
      <w:r w:rsidRPr="00804602">
        <w:rPr>
          <w:rFonts w:ascii="AGaramond" w:hAnsi="AGaramond"/>
          <w:sz w:val="18"/>
        </w:rPr>
        <w:t xml:space="preserve"> Lahoud, ‘Fallen </w:t>
      </w:r>
      <w:r w:rsidRPr="00804602">
        <w:rPr>
          <w:rStyle w:val="il"/>
          <w:rFonts w:ascii="AGaramond" w:hAnsi="AGaramond"/>
          <w:sz w:val="18"/>
        </w:rPr>
        <w:t>Cities</w:t>
      </w:r>
      <w:r w:rsidRPr="00804602">
        <w:rPr>
          <w:rFonts w:ascii="AGaramond" w:hAnsi="AGaramond"/>
          <w:sz w:val="18"/>
        </w:rPr>
        <w:t xml:space="preserve">,’ in </w:t>
      </w:r>
      <w:r w:rsidRPr="00804602">
        <w:rPr>
          <w:rFonts w:ascii="AGaramond" w:hAnsi="AGaramond"/>
          <w:i/>
          <w:sz w:val="18"/>
        </w:rPr>
        <w:t xml:space="preserve">The </w:t>
      </w:r>
      <w:r w:rsidRPr="00804602">
        <w:rPr>
          <w:rStyle w:val="il"/>
          <w:rFonts w:ascii="AGaramond" w:hAnsi="AGaramond"/>
          <w:i/>
          <w:sz w:val="18"/>
        </w:rPr>
        <w:t>Arab</w:t>
      </w:r>
      <w:r w:rsidRPr="00804602">
        <w:rPr>
          <w:rFonts w:ascii="AGaramond" w:hAnsi="AGaramond"/>
          <w:i/>
          <w:sz w:val="18"/>
        </w:rPr>
        <w:t xml:space="preserve"> </w:t>
      </w:r>
      <w:r w:rsidRPr="00804602">
        <w:rPr>
          <w:rStyle w:val="il"/>
          <w:rFonts w:ascii="AGaramond" w:hAnsi="AGaramond"/>
          <w:i/>
          <w:sz w:val="18"/>
        </w:rPr>
        <w:t>City</w:t>
      </w:r>
      <w:r w:rsidRPr="00804602">
        <w:rPr>
          <w:rFonts w:ascii="AGaramond" w:hAnsi="AGaramond"/>
          <w:i/>
          <w:sz w:val="18"/>
        </w:rPr>
        <w:t>: Architecture and Representation</w:t>
      </w:r>
      <w:r w:rsidRPr="00804602">
        <w:rPr>
          <w:rFonts w:ascii="AGaramond" w:hAnsi="AGaramond"/>
          <w:sz w:val="18"/>
        </w:rPr>
        <w:t>,</w:t>
      </w:r>
      <w:r w:rsidRPr="00804602">
        <w:rPr>
          <w:rFonts w:ascii="AGaramond" w:hAnsi="AGaramond"/>
          <w:i/>
          <w:sz w:val="18"/>
        </w:rPr>
        <w:t> </w:t>
      </w:r>
      <w:r w:rsidRPr="00804602">
        <w:rPr>
          <w:rFonts w:ascii="AGaramond" w:hAnsi="AGaramond"/>
          <w:sz w:val="18"/>
        </w:rPr>
        <w:t xml:space="preserve">edited by Amale Andraos and Nora Akawi (New York: Columbia Books on Architecture and the </w:t>
      </w:r>
      <w:r w:rsidRPr="00804602">
        <w:rPr>
          <w:rStyle w:val="il"/>
          <w:rFonts w:ascii="AGaramond" w:hAnsi="AGaramond"/>
          <w:sz w:val="18"/>
        </w:rPr>
        <w:t>City</w:t>
      </w:r>
      <w:r w:rsidRPr="00804602">
        <w:rPr>
          <w:rFonts w:ascii="AGaramond" w:hAnsi="AGaramond"/>
          <w:sz w:val="18"/>
        </w:rPr>
        <w:t>, 2016). </w:t>
      </w:r>
    </w:p>
  </w:footnote>
  <w:footnote w:id="21">
    <w:p w14:paraId="35E9DE84" w14:textId="77777777" w:rsidR="00804602" w:rsidRPr="00804602" w:rsidRDefault="00804602" w:rsidP="006D2089">
      <w:pPr>
        <w:pStyle w:val="FootnoteText"/>
        <w:rPr>
          <w:rFonts w:ascii="AGaramond" w:hAnsi="AGaramond"/>
          <w:sz w:val="18"/>
        </w:rPr>
      </w:pPr>
      <w:r w:rsidRPr="00804602">
        <w:rPr>
          <w:rStyle w:val="FootnoteReference"/>
          <w:rFonts w:ascii="AGaramond" w:hAnsi="AGaramond"/>
          <w:sz w:val="18"/>
        </w:rPr>
        <w:footnoteRef/>
      </w:r>
      <w:r w:rsidRPr="00804602">
        <w:rPr>
          <w:rFonts w:ascii="AGaramond" w:hAnsi="AGaramond"/>
          <w:sz w:val="18"/>
        </w:rPr>
        <w:t xml:space="preserve"> Félix Guattari, ‘Architectural Enunciation’, in </w:t>
      </w:r>
      <w:r w:rsidRPr="00804602">
        <w:rPr>
          <w:rFonts w:ascii="AGaramond" w:hAnsi="AGaramond"/>
          <w:i/>
          <w:sz w:val="18"/>
        </w:rPr>
        <w:t>Guattari: Schizoanalytic Cartographies</w:t>
      </w:r>
      <w:r w:rsidRPr="00804602">
        <w:rPr>
          <w:rFonts w:ascii="AGaramond" w:hAnsi="AGaramond"/>
          <w:sz w:val="18"/>
        </w:rPr>
        <w:t>, translated by Andrew Goffey (London: Bloomsbury, 2013 [orig. 1989]), 238.</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52223"/>
    <w:multiLevelType w:val="hybridMultilevel"/>
    <w:tmpl w:val="E3CA7804"/>
    <w:lvl w:ilvl="0" w:tplc="520886C0">
      <w:numFmt w:val="bullet"/>
      <w:lvlText w:val="-"/>
      <w:lvlJc w:val="left"/>
      <w:pPr>
        <w:ind w:left="720" w:hanging="360"/>
      </w:pPr>
      <w:rPr>
        <w:rFonts w:ascii="Times" w:eastAsiaTheme="minorHAnsi" w:hAnsi="Time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537F32"/>
    <w:multiLevelType w:val="hybridMultilevel"/>
    <w:tmpl w:val="3E36F21E"/>
    <w:lvl w:ilvl="0" w:tplc="12FA5EFC">
      <w:start w:val="4"/>
      <w:numFmt w:val="bullet"/>
      <w:lvlText w:val="-"/>
      <w:lvlJc w:val="left"/>
      <w:pPr>
        <w:ind w:left="1080" w:hanging="360"/>
      </w:pPr>
      <w:rPr>
        <w:rFonts w:ascii="AGaramond" w:eastAsiaTheme="minorHAnsi" w:hAnsi="AGaramond"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C02670D"/>
    <w:multiLevelType w:val="hybridMultilevel"/>
    <w:tmpl w:val="F77CD58A"/>
    <w:lvl w:ilvl="0" w:tplc="7FFE9F62">
      <w:start w:val="2"/>
      <w:numFmt w:val="bullet"/>
      <w:lvlText w:val="-"/>
      <w:lvlJc w:val="left"/>
      <w:pPr>
        <w:ind w:left="720" w:hanging="360"/>
      </w:pPr>
      <w:rPr>
        <w:rFonts w:ascii="Times" w:eastAsiaTheme="minorHAnsi" w:hAnsi="Time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9C16B8"/>
    <w:multiLevelType w:val="hybridMultilevel"/>
    <w:tmpl w:val="63202222"/>
    <w:lvl w:ilvl="0" w:tplc="A0F450FC">
      <w:start w:val="2"/>
      <w:numFmt w:val="bullet"/>
      <w:lvlText w:val="-"/>
      <w:lvlJc w:val="left"/>
      <w:pPr>
        <w:ind w:left="720" w:hanging="360"/>
      </w:pPr>
      <w:rPr>
        <w:rFonts w:ascii="Times" w:eastAsiaTheme="minorHAnsi" w:hAnsi="Time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BA6F55"/>
    <w:multiLevelType w:val="hybridMultilevel"/>
    <w:tmpl w:val="6C06A486"/>
    <w:lvl w:ilvl="0" w:tplc="D7D6E582">
      <w:numFmt w:val="bullet"/>
      <w:lvlText w:val="-"/>
      <w:lvlJc w:val="left"/>
      <w:pPr>
        <w:ind w:left="420" w:hanging="360"/>
      </w:pPr>
      <w:rPr>
        <w:rFonts w:ascii="Times" w:eastAsiaTheme="minorHAnsi" w:hAnsi="Times" w:cs="Times New Roman"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
    <w:nsid w:val="2B6869FD"/>
    <w:multiLevelType w:val="hybridMultilevel"/>
    <w:tmpl w:val="E7A2D2C2"/>
    <w:lvl w:ilvl="0" w:tplc="8020D102">
      <w:start w:val="9"/>
      <w:numFmt w:val="bullet"/>
      <w:lvlText w:val="-"/>
      <w:lvlJc w:val="left"/>
      <w:pPr>
        <w:ind w:left="720" w:hanging="360"/>
      </w:pPr>
      <w:rPr>
        <w:rFonts w:ascii="Times" w:eastAsiaTheme="minorHAnsi" w:hAnsi="Time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934C98"/>
    <w:multiLevelType w:val="hybridMultilevel"/>
    <w:tmpl w:val="4ECE9E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1B5081"/>
    <w:multiLevelType w:val="hybridMultilevel"/>
    <w:tmpl w:val="FDF65DC4"/>
    <w:lvl w:ilvl="0" w:tplc="CF882BBA">
      <w:numFmt w:val="bullet"/>
      <w:lvlText w:val="-"/>
      <w:lvlJc w:val="left"/>
      <w:pPr>
        <w:ind w:left="720" w:hanging="360"/>
      </w:pPr>
      <w:rPr>
        <w:rFonts w:ascii="AGaramond" w:eastAsiaTheme="minorHAnsi" w:hAnsi="AGaramond"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AC1765"/>
    <w:multiLevelType w:val="hybridMultilevel"/>
    <w:tmpl w:val="E1D2EB14"/>
    <w:lvl w:ilvl="0" w:tplc="75F6E446">
      <w:start w:val="5"/>
      <w:numFmt w:val="bullet"/>
      <w:lvlText w:val="-"/>
      <w:lvlJc w:val="left"/>
      <w:pPr>
        <w:ind w:left="720" w:hanging="360"/>
      </w:pPr>
      <w:rPr>
        <w:rFonts w:ascii="Times" w:eastAsiaTheme="minorHAnsi" w:hAnsi="Time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38430E"/>
    <w:multiLevelType w:val="hybridMultilevel"/>
    <w:tmpl w:val="D534D3F2"/>
    <w:lvl w:ilvl="0" w:tplc="B3E84650">
      <w:start w:val="3"/>
      <w:numFmt w:val="bullet"/>
      <w:lvlText w:val="-"/>
      <w:lvlJc w:val="left"/>
      <w:pPr>
        <w:ind w:left="420" w:hanging="360"/>
      </w:pPr>
      <w:rPr>
        <w:rFonts w:ascii="AGaramond" w:eastAsiaTheme="minorHAnsi" w:hAnsi="AGaramond" w:cstheme="minorBidi"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0">
    <w:nsid w:val="62FB1009"/>
    <w:multiLevelType w:val="hybridMultilevel"/>
    <w:tmpl w:val="04102B3E"/>
    <w:lvl w:ilvl="0" w:tplc="DC9008CE">
      <w:numFmt w:val="bullet"/>
      <w:lvlText w:val="-"/>
      <w:lvlJc w:val="left"/>
      <w:pPr>
        <w:ind w:left="720" w:hanging="360"/>
      </w:pPr>
      <w:rPr>
        <w:rFonts w:ascii="Times" w:eastAsiaTheme="minorHAnsi" w:hAnsi="Time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4474242"/>
    <w:multiLevelType w:val="hybridMultilevel"/>
    <w:tmpl w:val="CA6C06F4"/>
    <w:lvl w:ilvl="0" w:tplc="118EDA92">
      <w:start w:val="5"/>
      <w:numFmt w:val="bullet"/>
      <w:lvlText w:val="-"/>
      <w:lvlJc w:val="left"/>
      <w:pPr>
        <w:ind w:left="720" w:hanging="360"/>
      </w:pPr>
      <w:rPr>
        <w:rFonts w:ascii="Times" w:eastAsiaTheme="minorHAnsi" w:hAnsi="Time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B9C5E39"/>
    <w:multiLevelType w:val="hybridMultilevel"/>
    <w:tmpl w:val="77544CD0"/>
    <w:lvl w:ilvl="0" w:tplc="CC3C91D8">
      <w:start w:val="1"/>
      <w:numFmt w:val="bullet"/>
      <w:lvlText w:val="-"/>
      <w:lvlJc w:val="left"/>
      <w:pPr>
        <w:ind w:left="720" w:hanging="360"/>
      </w:pPr>
      <w:rPr>
        <w:rFonts w:ascii="Times" w:eastAsiaTheme="minorHAnsi" w:hAnsi="Time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
  </w:num>
  <w:num w:numId="4">
    <w:abstractNumId w:val="9"/>
  </w:num>
  <w:num w:numId="5">
    <w:abstractNumId w:val="0"/>
  </w:num>
  <w:num w:numId="6">
    <w:abstractNumId w:val="10"/>
  </w:num>
  <w:num w:numId="7">
    <w:abstractNumId w:val="3"/>
  </w:num>
  <w:num w:numId="8">
    <w:abstractNumId w:val="2"/>
  </w:num>
  <w:num w:numId="9">
    <w:abstractNumId w:val="12"/>
  </w:num>
  <w:num w:numId="10">
    <w:abstractNumId w:val="8"/>
  </w:num>
  <w:num w:numId="11">
    <w:abstractNumId w:val="11"/>
  </w:num>
  <w:num w:numId="12">
    <w:abstractNumId w:val="4"/>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2A6658"/>
    <w:rsid w:val="000025CE"/>
    <w:rsid w:val="000030B8"/>
    <w:rsid w:val="0000322C"/>
    <w:rsid w:val="0000410A"/>
    <w:rsid w:val="00004A18"/>
    <w:rsid w:val="00005DD5"/>
    <w:rsid w:val="00006261"/>
    <w:rsid w:val="00006BD7"/>
    <w:rsid w:val="000118D1"/>
    <w:rsid w:val="00011D2A"/>
    <w:rsid w:val="00011F21"/>
    <w:rsid w:val="000120CF"/>
    <w:rsid w:val="0001272A"/>
    <w:rsid w:val="00012864"/>
    <w:rsid w:val="00012FCA"/>
    <w:rsid w:val="0001301C"/>
    <w:rsid w:val="00013AC6"/>
    <w:rsid w:val="000152FE"/>
    <w:rsid w:val="000162D3"/>
    <w:rsid w:val="00016B34"/>
    <w:rsid w:val="00017E0D"/>
    <w:rsid w:val="00020EFA"/>
    <w:rsid w:val="0002106A"/>
    <w:rsid w:val="000240C2"/>
    <w:rsid w:val="00024250"/>
    <w:rsid w:val="0002492F"/>
    <w:rsid w:val="000256B4"/>
    <w:rsid w:val="00025A69"/>
    <w:rsid w:val="00025B5D"/>
    <w:rsid w:val="00025D84"/>
    <w:rsid w:val="00025DFB"/>
    <w:rsid w:val="0002678C"/>
    <w:rsid w:val="00027AE7"/>
    <w:rsid w:val="000302E3"/>
    <w:rsid w:val="000313FF"/>
    <w:rsid w:val="00031675"/>
    <w:rsid w:val="00031AE8"/>
    <w:rsid w:val="00032231"/>
    <w:rsid w:val="000327FC"/>
    <w:rsid w:val="000333FB"/>
    <w:rsid w:val="0003363E"/>
    <w:rsid w:val="000338AB"/>
    <w:rsid w:val="0003440E"/>
    <w:rsid w:val="000363B0"/>
    <w:rsid w:val="00041AB7"/>
    <w:rsid w:val="000421E2"/>
    <w:rsid w:val="00042E1E"/>
    <w:rsid w:val="00042ED2"/>
    <w:rsid w:val="00043F31"/>
    <w:rsid w:val="00045539"/>
    <w:rsid w:val="0004727F"/>
    <w:rsid w:val="00050A94"/>
    <w:rsid w:val="00051141"/>
    <w:rsid w:val="0005355D"/>
    <w:rsid w:val="00053E7A"/>
    <w:rsid w:val="000541D6"/>
    <w:rsid w:val="00054377"/>
    <w:rsid w:val="000547FB"/>
    <w:rsid w:val="00054D69"/>
    <w:rsid w:val="0005504B"/>
    <w:rsid w:val="00055273"/>
    <w:rsid w:val="00056ED7"/>
    <w:rsid w:val="00056FC6"/>
    <w:rsid w:val="00057DE4"/>
    <w:rsid w:val="00060358"/>
    <w:rsid w:val="000604EC"/>
    <w:rsid w:val="000605E6"/>
    <w:rsid w:val="00060C39"/>
    <w:rsid w:val="00060C60"/>
    <w:rsid w:val="0006148B"/>
    <w:rsid w:val="000615A1"/>
    <w:rsid w:val="0006263D"/>
    <w:rsid w:val="000629BF"/>
    <w:rsid w:val="00062B24"/>
    <w:rsid w:val="00062EA9"/>
    <w:rsid w:val="0006492D"/>
    <w:rsid w:val="00065294"/>
    <w:rsid w:val="00065BE0"/>
    <w:rsid w:val="00065EF6"/>
    <w:rsid w:val="00066802"/>
    <w:rsid w:val="0006729C"/>
    <w:rsid w:val="0006734C"/>
    <w:rsid w:val="00067E52"/>
    <w:rsid w:val="0007005A"/>
    <w:rsid w:val="00071C11"/>
    <w:rsid w:val="00071D1D"/>
    <w:rsid w:val="000748F2"/>
    <w:rsid w:val="00075113"/>
    <w:rsid w:val="00075367"/>
    <w:rsid w:val="00075686"/>
    <w:rsid w:val="00076A26"/>
    <w:rsid w:val="00076AB1"/>
    <w:rsid w:val="00076DDB"/>
    <w:rsid w:val="00077398"/>
    <w:rsid w:val="0007777A"/>
    <w:rsid w:val="00080BD0"/>
    <w:rsid w:val="00080C68"/>
    <w:rsid w:val="000810BF"/>
    <w:rsid w:val="000812B1"/>
    <w:rsid w:val="000817F4"/>
    <w:rsid w:val="00081D7E"/>
    <w:rsid w:val="000822A1"/>
    <w:rsid w:val="00083A55"/>
    <w:rsid w:val="00085208"/>
    <w:rsid w:val="00086D36"/>
    <w:rsid w:val="00086DBE"/>
    <w:rsid w:val="00090432"/>
    <w:rsid w:val="000904EB"/>
    <w:rsid w:val="00092D92"/>
    <w:rsid w:val="000942FC"/>
    <w:rsid w:val="000946A0"/>
    <w:rsid w:val="00094A3F"/>
    <w:rsid w:val="00094D6B"/>
    <w:rsid w:val="000951C0"/>
    <w:rsid w:val="000953CE"/>
    <w:rsid w:val="0009579F"/>
    <w:rsid w:val="00095DAD"/>
    <w:rsid w:val="000974A1"/>
    <w:rsid w:val="0009762D"/>
    <w:rsid w:val="000A0545"/>
    <w:rsid w:val="000A06B9"/>
    <w:rsid w:val="000A0AB2"/>
    <w:rsid w:val="000A0AE5"/>
    <w:rsid w:val="000A11F3"/>
    <w:rsid w:val="000A2309"/>
    <w:rsid w:val="000A26F3"/>
    <w:rsid w:val="000A3229"/>
    <w:rsid w:val="000A32C5"/>
    <w:rsid w:val="000A3C73"/>
    <w:rsid w:val="000A3D84"/>
    <w:rsid w:val="000A448E"/>
    <w:rsid w:val="000A53F0"/>
    <w:rsid w:val="000A571A"/>
    <w:rsid w:val="000A5DC0"/>
    <w:rsid w:val="000A7140"/>
    <w:rsid w:val="000A718B"/>
    <w:rsid w:val="000B0243"/>
    <w:rsid w:val="000B0AFF"/>
    <w:rsid w:val="000B10C2"/>
    <w:rsid w:val="000B1333"/>
    <w:rsid w:val="000B16F4"/>
    <w:rsid w:val="000B17CF"/>
    <w:rsid w:val="000B1FC5"/>
    <w:rsid w:val="000B2EC2"/>
    <w:rsid w:val="000B2FD0"/>
    <w:rsid w:val="000B323A"/>
    <w:rsid w:val="000B38C9"/>
    <w:rsid w:val="000B3FBF"/>
    <w:rsid w:val="000B72C0"/>
    <w:rsid w:val="000B73B7"/>
    <w:rsid w:val="000B7BAC"/>
    <w:rsid w:val="000B7D3C"/>
    <w:rsid w:val="000B7EC4"/>
    <w:rsid w:val="000C116D"/>
    <w:rsid w:val="000C1D3B"/>
    <w:rsid w:val="000C2811"/>
    <w:rsid w:val="000C2C97"/>
    <w:rsid w:val="000C3301"/>
    <w:rsid w:val="000C35A6"/>
    <w:rsid w:val="000C3944"/>
    <w:rsid w:val="000C396F"/>
    <w:rsid w:val="000C3BA9"/>
    <w:rsid w:val="000C3F28"/>
    <w:rsid w:val="000C46BE"/>
    <w:rsid w:val="000C5D31"/>
    <w:rsid w:val="000C62FD"/>
    <w:rsid w:val="000D048A"/>
    <w:rsid w:val="000D419A"/>
    <w:rsid w:val="000D4830"/>
    <w:rsid w:val="000D48F8"/>
    <w:rsid w:val="000D520D"/>
    <w:rsid w:val="000D5752"/>
    <w:rsid w:val="000D653C"/>
    <w:rsid w:val="000D6C21"/>
    <w:rsid w:val="000D7BA5"/>
    <w:rsid w:val="000D7FED"/>
    <w:rsid w:val="000E04B5"/>
    <w:rsid w:val="000E0570"/>
    <w:rsid w:val="000E082A"/>
    <w:rsid w:val="000E1090"/>
    <w:rsid w:val="000E202B"/>
    <w:rsid w:val="000E237E"/>
    <w:rsid w:val="000E2442"/>
    <w:rsid w:val="000E2711"/>
    <w:rsid w:val="000E3AA4"/>
    <w:rsid w:val="000E50E4"/>
    <w:rsid w:val="000E56E6"/>
    <w:rsid w:val="000E5AB5"/>
    <w:rsid w:val="000E6B7C"/>
    <w:rsid w:val="000E7116"/>
    <w:rsid w:val="000E7261"/>
    <w:rsid w:val="000E77D5"/>
    <w:rsid w:val="000E790B"/>
    <w:rsid w:val="000E7932"/>
    <w:rsid w:val="000F0147"/>
    <w:rsid w:val="000F0B3E"/>
    <w:rsid w:val="000F1AB0"/>
    <w:rsid w:val="000F26E9"/>
    <w:rsid w:val="000F3A69"/>
    <w:rsid w:val="000F3B18"/>
    <w:rsid w:val="000F5A83"/>
    <w:rsid w:val="000F6735"/>
    <w:rsid w:val="000F6C67"/>
    <w:rsid w:val="000F6F62"/>
    <w:rsid w:val="000F759B"/>
    <w:rsid w:val="000F7660"/>
    <w:rsid w:val="001006EC"/>
    <w:rsid w:val="00100B08"/>
    <w:rsid w:val="00100F99"/>
    <w:rsid w:val="00101D63"/>
    <w:rsid w:val="00102900"/>
    <w:rsid w:val="00102D63"/>
    <w:rsid w:val="00102EEB"/>
    <w:rsid w:val="001046CB"/>
    <w:rsid w:val="00104FBD"/>
    <w:rsid w:val="0010518E"/>
    <w:rsid w:val="0010537F"/>
    <w:rsid w:val="00105490"/>
    <w:rsid w:val="0010606E"/>
    <w:rsid w:val="00106F53"/>
    <w:rsid w:val="00107F0B"/>
    <w:rsid w:val="00110A8D"/>
    <w:rsid w:val="00110E1B"/>
    <w:rsid w:val="001112A6"/>
    <w:rsid w:val="001115CE"/>
    <w:rsid w:val="00111E41"/>
    <w:rsid w:val="0011295F"/>
    <w:rsid w:val="00113D90"/>
    <w:rsid w:val="001142AD"/>
    <w:rsid w:val="00114F15"/>
    <w:rsid w:val="00115C33"/>
    <w:rsid w:val="00115EEA"/>
    <w:rsid w:val="001160F1"/>
    <w:rsid w:val="001161DE"/>
    <w:rsid w:val="0011659D"/>
    <w:rsid w:val="00120626"/>
    <w:rsid w:val="00122A2E"/>
    <w:rsid w:val="00122E91"/>
    <w:rsid w:val="0012301C"/>
    <w:rsid w:val="00123F2E"/>
    <w:rsid w:val="0012441E"/>
    <w:rsid w:val="001244AD"/>
    <w:rsid w:val="00124E9E"/>
    <w:rsid w:val="00125379"/>
    <w:rsid w:val="001255CC"/>
    <w:rsid w:val="001256A6"/>
    <w:rsid w:val="0012575F"/>
    <w:rsid w:val="00125791"/>
    <w:rsid w:val="00126111"/>
    <w:rsid w:val="0012628F"/>
    <w:rsid w:val="001262E7"/>
    <w:rsid w:val="0012674A"/>
    <w:rsid w:val="00127AE2"/>
    <w:rsid w:val="00127DBB"/>
    <w:rsid w:val="00130540"/>
    <w:rsid w:val="001307B2"/>
    <w:rsid w:val="001307F2"/>
    <w:rsid w:val="0013161A"/>
    <w:rsid w:val="00131A80"/>
    <w:rsid w:val="00133083"/>
    <w:rsid w:val="001349C0"/>
    <w:rsid w:val="0013550D"/>
    <w:rsid w:val="0013718F"/>
    <w:rsid w:val="0013765C"/>
    <w:rsid w:val="0014136E"/>
    <w:rsid w:val="00141CD8"/>
    <w:rsid w:val="00141FE9"/>
    <w:rsid w:val="00143480"/>
    <w:rsid w:val="00143836"/>
    <w:rsid w:val="00143E33"/>
    <w:rsid w:val="001445D1"/>
    <w:rsid w:val="001449BC"/>
    <w:rsid w:val="00146267"/>
    <w:rsid w:val="00146298"/>
    <w:rsid w:val="0014632D"/>
    <w:rsid w:val="00146778"/>
    <w:rsid w:val="00146F67"/>
    <w:rsid w:val="001479CE"/>
    <w:rsid w:val="00150624"/>
    <w:rsid w:val="00150F5B"/>
    <w:rsid w:val="0015115C"/>
    <w:rsid w:val="00152156"/>
    <w:rsid w:val="00153353"/>
    <w:rsid w:val="00154CBE"/>
    <w:rsid w:val="00155408"/>
    <w:rsid w:val="00156325"/>
    <w:rsid w:val="0015715B"/>
    <w:rsid w:val="00157CC7"/>
    <w:rsid w:val="00160E76"/>
    <w:rsid w:val="0016129F"/>
    <w:rsid w:val="001619A2"/>
    <w:rsid w:val="00161F1C"/>
    <w:rsid w:val="001623E2"/>
    <w:rsid w:val="001625FD"/>
    <w:rsid w:val="00163085"/>
    <w:rsid w:val="00163754"/>
    <w:rsid w:val="00163780"/>
    <w:rsid w:val="00164899"/>
    <w:rsid w:val="001649FB"/>
    <w:rsid w:val="00165AC3"/>
    <w:rsid w:val="001677E8"/>
    <w:rsid w:val="001708AF"/>
    <w:rsid w:val="00171012"/>
    <w:rsid w:val="0017145D"/>
    <w:rsid w:val="0017300D"/>
    <w:rsid w:val="001732BE"/>
    <w:rsid w:val="00173533"/>
    <w:rsid w:val="00174112"/>
    <w:rsid w:val="00174E95"/>
    <w:rsid w:val="00175319"/>
    <w:rsid w:val="001759D6"/>
    <w:rsid w:val="00175A82"/>
    <w:rsid w:val="00175EA6"/>
    <w:rsid w:val="001767A4"/>
    <w:rsid w:val="00177EB4"/>
    <w:rsid w:val="00180922"/>
    <w:rsid w:val="00180D60"/>
    <w:rsid w:val="00181991"/>
    <w:rsid w:val="00181DFD"/>
    <w:rsid w:val="001821E2"/>
    <w:rsid w:val="00182E2C"/>
    <w:rsid w:val="0018316C"/>
    <w:rsid w:val="0018369E"/>
    <w:rsid w:val="001864B9"/>
    <w:rsid w:val="0018731E"/>
    <w:rsid w:val="00187DEF"/>
    <w:rsid w:val="001903F9"/>
    <w:rsid w:val="0019095C"/>
    <w:rsid w:val="00190C26"/>
    <w:rsid w:val="001913E7"/>
    <w:rsid w:val="00192749"/>
    <w:rsid w:val="00192FFF"/>
    <w:rsid w:val="001942BA"/>
    <w:rsid w:val="0019465B"/>
    <w:rsid w:val="00194746"/>
    <w:rsid w:val="001948B1"/>
    <w:rsid w:val="001949C4"/>
    <w:rsid w:val="001950CE"/>
    <w:rsid w:val="00195825"/>
    <w:rsid w:val="00196A89"/>
    <w:rsid w:val="0019740C"/>
    <w:rsid w:val="001979C7"/>
    <w:rsid w:val="001A0B57"/>
    <w:rsid w:val="001A191A"/>
    <w:rsid w:val="001A1959"/>
    <w:rsid w:val="001A1F36"/>
    <w:rsid w:val="001A2ECA"/>
    <w:rsid w:val="001A45C5"/>
    <w:rsid w:val="001A6E35"/>
    <w:rsid w:val="001A7F55"/>
    <w:rsid w:val="001B0D6F"/>
    <w:rsid w:val="001B1012"/>
    <w:rsid w:val="001B1163"/>
    <w:rsid w:val="001B117E"/>
    <w:rsid w:val="001B15A3"/>
    <w:rsid w:val="001B1BCC"/>
    <w:rsid w:val="001B1C9C"/>
    <w:rsid w:val="001B1D36"/>
    <w:rsid w:val="001B1ECC"/>
    <w:rsid w:val="001B2D89"/>
    <w:rsid w:val="001B31AC"/>
    <w:rsid w:val="001B3441"/>
    <w:rsid w:val="001B3D55"/>
    <w:rsid w:val="001B5328"/>
    <w:rsid w:val="001B540B"/>
    <w:rsid w:val="001B5873"/>
    <w:rsid w:val="001B5C39"/>
    <w:rsid w:val="001B5D9B"/>
    <w:rsid w:val="001C04CE"/>
    <w:rsid w:val="001C0840"/>
    <w:rsid w:val="001C1D02"/>
    <w:rsid w:val="001C2751"/>
    <w:rsid w:val="001C3391"/>
    <w:rsid w:val="001C3549"/>
    <w:rsid w:val="001C4195"/>
    <w:rsid w:val="001C4CB8"/>
    <w:rsid w:val="001C4ED6"/>
    <w:rsid w:val="001C55B4"/>
    <w:rsid w:val="001C76DD"/>
    <w:rsid w:val="001D0DF5"/>
    <w:rsid w:val="001D235F"/>
    <w:rsid w:val="001D26A2"/>
    <w:rsid w:val="001D28BF"/>
    <w:rsid w:val="001D3154"/>
    <w:rsid w:val="001D3FBF"/>
    <w:rsid w:val="001D41FA"/>
    <w:rsid w:val="001D55AB"/>
    <w:rsid w:val="001D5AB0"/>
    <w:rsid w:val="001D65FB"/>
    <w:rsid w:val="001D6E98"/>
    <w:rsid w:val="001D7458"/>
    <w:rsid w:val="001D78A1"/>
    <w:rsid w:val="001E02A1"/>
    <w:rsid w:val="001E0A12"/>
    <w:rsid w:val="001E157E"/>
    <w:rsid w:val="001E170A"/>
    <w:rsid w:val="001E2B77"/>
    <w:rsid w:val="001E3A3B"/>
    <w:rsid w:val="001E4351"/>
    <w:rsid w:val="001E449F"/>
    <w:rsid w:val="001E455B"/>
    <w:rsid w:val="001E53B0"/>
    <w:rsid w:val="001E5B02"/>
    <w:rsid w:val="001E5C34"/>
    <w:rsid w:val="001E64B9"/>
    <w:rsid w:val="001F176C"/>
    <w:rsid w:val="001F1EFF"/>
    <w:rsid w:val="001F2AF6"/>
    <w:rsid w:val="001F3023"/>
    <w:rsid w:val="001F3D2C"/>
    <w:rsid w:val="001F3DD7"/>
    <w:rsid w:val="001F46B1"/>
    <w:rsid w:val="001F63DB"/>
    <w:rsid w:val="001F67F1"/>
    <w:rsid w:val="001F6A48"/>
    <w:rsid w:val="0020142A"/>
    <w:rsid w:val="00202029"/>
    <w:rsid w:val="002038D6"/>
    <w:rsid w:val="00204E7D"/>
    <w:rsid w:val="00204F60"/>
    <w:rsid w:val="002062CF"/>
    <w:rsid w:val="00206559"/>
    <w:rsid w:val="00210AE5"/>
    <w:rsid w:val="0021102B"/>
    <w:rsid w:val="002111B4"/>
    <w:rsid w:val="002113EB"/>
    <w:rsid w:val="00211664"/>
    <w:rsid w:val="002119E2"/>
    <w:rsid w:val="002119F5"/>
    <w:rsid w:val="00211E05"/>
    <w:rsid w:val="0021215C"/>
    <w:rsid w:val="0021216A"/>
    <w:rsid w:val="002124B1"/>
    <w:rsid w:val="00212868"/>
    <w:rsid w:val="002139E7"/>
    <w:rsid w:val="002141F4"/>
    <w:rsid w:val="00215E4A"/>
    <w:rsid w:val="002162BE"/>
    <w:rsid w:val="00217566"/>
    <w:rsid w:val="002178B0"/>
    <w:rsid w:val="002179FB"/>
    <w:rsid w:val="00220972"/>
    <w:rsid w:val="00221263"/>
    <w:rsid w:val="00221CF6"/>
    <w:rsid w:val="0022259A"/>
    <w:rsid w:val="00223464"/>
    <w:rsid w:val="00223515"/>
    <w:rsid w:val="00225168"/>
    <w:rsid w:val="002267A2"/>
    <w:rsid w:val="00226CB4"/>
    <w:rsid w:val="00230A99"/>
    <w:rsid w:val="00230BB9"/>
    <w:rsid w:val="0023169A"/>
    <w:rsid w:val="00233B51"/>
    <w:rsid w:val="0023595B"/>
    <w:rsid w:val="00235F91"/>
    <w:rsid w:val="00237C05"/>
    <w:rsid w:val="002403B5"/>
    <w:rsid w:val="002406A7"/>
    <w:rsid w:val="00240D59"/>
    <w:rsid w:val="00242664"/>
    <w:rsid w:val="00242EA7"/>
    <w:rsid w:val="00243727"/>
    <w:rsid w:val="00243AD0"/>
    <w:rsid w:val="00244BFA"/>
    <w:rsid w:val="002452CD"/>
    <w:rsid w:val="00245642"/>
    <w:rsid w:val="00246392"/>
    <w:rsid w:val="00246599"/>
    <w:rsid w:val="00246675"/>
    <w:rsid w:val="00246A09"/>
    <w:rsid w:val="00246A6E"/>
    <w:rsid w:val="00246F55"/>
    <w:rsid w:val="00251F22"/>
    <w:rsid w:val="0025244C"/>
    <w:rsid w:val="0025244D"/>
    <w:rsid w:val="00252A0C"/>
    <w:rsid w:val="00252D53"/>
    <w:rsid w:val="00253F90"/>
    <w:rsid w:val="00254B0A"/>
    <w:rsid w:val="00257B91"/>
    <w:rsid w:val="00260307"/>
    <w:rsid w:val="00260BA6"/>
    <w:rsid w:val="00261403"/>
    <w:rsid w:val="002617A7"/>
    <w:rsid w:val="0026275D"/>
    <w:rsid w:val="00262C4F"/>
    <w:rsid w:val="00263AEF"/>
    <w:rsid w:val="002644D7"/>
    <w:rsid w:val="00265352"/>
    <w:rsid w:val="0026549A"/>
    <w:rsid w:val="00265C6F"/>
    <w:rsid w:val="0026726C"/>
    <w:rsid w:val="002672C5"/>
    <w:rsid w:val="002675A1"/>
    <w:rsid w:val="002712B9"/>
    <w:rsid w:val="002714C1"/>
    <w:rsid w:val="00273E44"/>
    <w:rsid w:val="00274199"/>
    <w:rsid w:val="002742B7"/>
    <w:rsid w:val="00274733"/>
    <w:rsid w:val="0027485B"/>
    <w:rsid w:val="002748DC"/>
    <w:rsid w:val="00274B9A"/>
    <w:rsid w:val="00276113"/>
    <w:rsid w:val="00276DDF"/>
    <w:rsid w:val="00277061"/>
    <w:rsid w:val="002778C6"/>
    <w:rsid w:val="00277D24"/>
    <w:rsid w:val="002809E8"/>
    <w:rsid w:val="002814D0"/>
    <w:rsid w:val="002819FB"/>
    <w:rsid w:val="002830E0"/>
    <w:rsid w:val="00283478"/>
    <w:rsid w:val="00283A57"/>
    <w:rsid w:val="00283DAA"/>
    <w:rsid w:val="002867C1"/>
    <w:rsid w:val="0029006B"/>
    <w:rsid w:val="00290FD3"/>
    <w:rsid w:val="00291AF2"/>
    <w:rsid w:val="00291BCE"/>
    <w:rsid w:val="00291F35"/>
    <w:rsid w:val="00292349"/>
    <w:rsid w:val="00292491"/>
    <w:rsid w:val="002928ED"/>
    <w:rsid w:val="00293ABE"/>
    <w:rsid w:val="002944DF"/>
    <w:rsid w:val="00294DDE"/>
    <w:rsid w:val="00295D1D"/>
    <w:rsid w:val="00296670"/>
    <w:rsid w:val="00296692"/>
    <w:rsid w:val="002967AD"/>
    <w:rsid w:val="002978E0"/>
    <w:rsid w:val="00297FFB"/>
    <w:rsid w:val="002A0E9D"/>
    <w:rsid w:val="002A1137"/>
    <w:rsid w:val="002A1527"/>
    <w:rsid w:val="002A18DC"/>
    <w:rsid w:val="002A2150"/>
    <w:rsid w:val="002A29C9"/>
    <w:rsid w:val="002A3211"/>
    <w:rsid w:val="002A3E1D"/>
    <w:rsid w:val="002A4D29"/>
    <w:rsid w:val="002A4FBA"/>
    <w:rsid w:val="002A55C7"/>
    <w:rsid w:val="002A569E"/>
    <w:rsid w:val="002A5BC7"/>
    <w:rsid w:val="002A6658"/>
    <w:rsid w:val="002A68F9"/>
    <w:rsid w:val="002A6A74"/>
    <w:rsid w:val="002A6C3F"/>
    <w:rsid w:val="002A731D"/>
    <w:rsid w:val="002A7891"/>
    <w:rsid w:val="002A7F6E"/>
    <w:rsid w:val="002B09FD"/>
    <w:rsid w:val="002B1227"/>
    <w:rsid w:val="002B2FC7"/>
    <w:rsid w:val="002B36CD"/>
    <w:rsid w:val="002B38E7"/>
    <w:rsid w:val="002B4949"/>
    <w:rsid w:val="002B6A15"/>
    <w:rsid w:val="002C289C"/>
    <w:rsid w:val="002C2B21"/>
    <w:rsid w:val="002C2D67"/>
    <w:rsid w:val="002C4819"/>
    <w:rsid w:val="002C4B37"/>
    <w:rsid w:val="002C553D"/>
    <w:rsid w:val="002C5BD9"/>
    <w:rsid w:val="002C6122"/>
    <w:rsid w:val="002C6221"/>
    <w:rsid w:val="002C6E9F"/>
    <w:rsid w:val="002C71D5"/>
    <w:rsid w:val="002C7A4F"/>
    <w:rsid w:val="002C7C5F"/>
    <w:rsid w:val="002D021C"/>
    <w:rsid w:val="002D075E"/>
    <w:rsid w:val="002D0C7B"/>
    <w:rsid w:val="002D19FF"/>
    <w:rsid w:val="002D2891"/>
    <w:rsid w:val="002D32CE"/>
    <w:rsid w:val="002D3B31"/>
    <w:rsid w:val="002D41F9"/>
    <w:rsid w:val="002D49DC"/>
    <w:rsid w:val="002D53A0"/>
    <w:rsid w:val="002D65ED"/>
    <w:rsid w:val="002D67A5"/>
    <w:rsid w:val="002D72A1"/>
    <w:rsid w:val="002D7F79"/>
    <w:rsid w:val="002E03BB"/>
    <w:rsid w:val="002E0C24"/>
    <w:rsid w:val="002E0CC9"/>
    <w:rsid w:val="002E1455"/>
    <w:rsid w:val="002E2196"/>
    <w:rsid w:val="002E25AF"/>
    <w:rsid w:val="002E2B4A"/>
    <w:rsid w:val="002E4267"/>
    <w:rsid w:val="002E5305"/>
    <w:rsid w:val="002E558C"/>
    <w:rsid w:val="002E62CE"/>
    <w:rsid w:val="002E6996"/>
    <w:rsid w:val="002E738B"/>
    <w:rsid w:val="002E7B7F"/>
    <w:rsid w:val="002F1759"/>
    <w:rsid w:val="002F26E0"/>
    <w:rsid w:val="002F2F03"/>
    <w:rsid w:val="002F3234"/>
    <w:rsid w:val="002F3B78"/>
    <w:rsid w:val="002F4360"/>
    <w:rsid w:val="002F4659"/>
    <w:rsid w:val="002F4B22"/>
    <w:rsid w:val="002F597D"/>
    <w:rsid w:val="00300077"/>
    <w:rsid w:val="00300802"/>
    <w:rsid w:val="00300834"/>
    <w:rsid w:val="00301255"/>
    <w:rsid w:val="00301A22"/>
    <w:rsid w:val="00302BAC"/>
    <w:rsid w:val="00302FC2"/>
    <w:rsid w:val="003034A2"/>
    <w:rsid w:val="0030380B"/>
    <w:rsid w:val="0030391F"/>
    <w:rsid w:val="00303944"/>
    <w:rsid w:val="00303967"/>
    <w:rsid w:val="00303DFB"/>
    <w:rsid w:val="0030423C"/>
    <w:rsid w:val="0030448A"/>
    <w:rsid w:val="00304A5A"/>
    <w:rsid w:val="00305794"/>
    <w:rsid w:val="003060BB"/>
    <w:rsid w:val="003077DD"/>
    <w:rsid w:val="00310847"/>
    <w:rsid w:val="00310AB2"/>
    <w:rsid w:val="0031149F"/>
    <w:rsid w:val="00311506"/>
    <w:rsid w:val="00311693"/>
    <w:rsid w:val="0031325E"/>
    <w:rsid w:val="00313445"/>
    <w:rsid w:val="003138D9"/>
    <w:rsid w:val="0031452B"/>
    <w:rsid w:val="00314938"/>
    <w:rsid w:val="00314F4B"/>
    <w:rsid w:val="00315404"/>
    <w:rsid w:val="00316E28"/>
    <w:rsid w:val="00317653"/>
    <w:rsid w:val="003176D2"/>
    <w:rsid w:val="00320546"/>
    <w:rsid w:val="00320A5B"/>
    <w:rsid w:val="00321B1A"/>
    <w:rsid w:val="00321C40"/>
    <w:rsid w:val="00322E8E"/>
    <w:rsid w:val="003231E7"/>
    <w:rsid w:val="00323890"/>
    <w:rsid w:val="00325938"/>
    <w:rsid w:val="00326230"/>
    <w:rsid w:val="003275CC"/>
    <w:rsid w:val="003275FF"/>
    <w:rsid w:val="00327A78"/>
    <w:rsid w:val="0033178C"/>
    <w:rsid w:val="00331D02"/>
    <w:rsid w:val="003331F1"/>
    <w:rsid w:val="0033393C"/>
    <w:rsid w:val="00333E51"/>
    <w:rsid w:val="00334FB3"/>
    <w:rsid w:val="00335BF1"/>
    <w:rsid w:val="003365E8"/>
    <w:rsid w:val="0033694B"/>
    <w:rsid w:val="00336FAC"/>
    <w:rsid w:val="0034086F"/>
    <w:rsid w:val="003408F1"/>
    <w:rsid w:val="003428AC"/>
    <w:rsid w:val="00342C43"/>
    <w:rsid w:val="00343199"/>
    <w:rsid w:val="00343F0A"/>
    <w:rsid w:val="0034459A"/>
    <w:rsid w:val="00344B06"/>
    <w:rsid w:val="00344E15"/>
    <w:rsid w:val="00347F24"/>
    <w:rsid w:val="00350245"/>
    <w:rsid w:val="003506D4"/>
    <w:rsid w:val="00351396"/>
    <w:rsid w:val="00351E43"/>
    <w:rsid w:val="003529CB"/>
    <w:rsid w:val="0035393A"/>
    <w:rsid w:val="00354242"/>
    <w:rsid w:val="00354EE9"/>
    <w:rsid w:val="00355654"/>
    <w:rsid w:val="00355A35"/>
    <w:rsid w:val="00356052"/>
    <w:rsid w:val="00356B03"/>
    <w:rsid w:val="003571D5"/>
    <w:rsid w:val="00360036"/>
    <w:rsid w:val="00361933"/>
    <w:rsid w:val="00361F3D"/>
    <w:rsid w:val="00361FD5"/>
    <w:rsid w:val="003621C5"/>
    <w:rsid w:val="00363069"/>
    <w:rsid w:val="00363313"/>
    <w:rsid w:val="003639CC"/>
    <w:rsid w:val="00365F47"/>
    <w:rsid w:val="00366BDB"/>
    <w:rsid w:val="00367680"/>
    <w:rsid w:val="00367C52"/>
    <w:rsid w:val="003721E6"/>
    <w:rsid w:val="0037491F"/>
    <w:rsid w:val="00374DC0"/>
    <w:rsid w:val="00374DD1"/>
    <w:rsid w:val="003752BA"/>
    <w:rsid w:val="00375F2B"/>
    <w:rsid w:val="003767A9"/>
    <w:rsid w:val="0037752B"/>
    <w:rsid w:val="00377FA6"/>
    <w:rsid w:val="00380B91"/>
    <w:rsid w:val="00381058"/>
    <w:rsid w:val="00381D3E"/>
    <w:rsid w:val="003821B7"/>
    <w:rsid w:val="00382A11"/>
    <w:rsid w:val="00382FD5"/>
    <w:rsid w:val="003836B3"/>
    <w:rsid w:val="00383EB3"/>
    <w:rsid w:val="00384670"/>
    <w:rsid w:val="00384985"/>
    <w:rsid w:val="00384BF1"/>
    <w:rsid w:val="00385306"/>
    <w:rsid w:val="003854E5"/>
    <w:rsid w:val="00387AB5"/>
    <w:rsid w:val="00387E0A"/>
    <w:rsid w:val="00390119"/>
    <w:rsid w:val="00390519"/>
    <w:rsid w:val="00390CB7"/>
    <w:rsid w:val="00390E83"/>
    <w:rsid w:val="003918D7"/>
    <w:rsid w:val="00391EAA"/>
    <w:rsid w:val="00394DFB"/>
    <w:rsid w:val="003953A8"/>
    <w:rsid w:val="0039609B"/>
    <w:rsid w:val="0039624F"/>
    <w:rsid w:val="00396586"/>
    <w:rsid w:val="00396C68"/>
    <w:rsid w:val="00397E69"/>
    <w:rsid w:val="003A0315"/>
    <w:rsid w:val="003A073A"/>
    <w:rsid w:val="003A0B60"/>
    <w:rsid w:val="003A11C2"/>
    <w:rsid w:val="003A4A9A"/>
    <w:rsid w:val="003A5086"/>
    <w:rsid w:val="003A56E9"/>
    <w:rsid w:val="003A5834"/>
    <w:rsid w:val="003A5C1C"/>
    <w:rsid w:val="003A5E13"/>
    <w:rsid w:val="003A5E37"/>
    <w:rsid w:val="003A5F1C"/>
    <w:rsid w:val="003A5FBE"/>
    <w:rsid w:val="003A61EE"/>
    <w:rsid w:val="003A6A5D"/>
    <w:rsid w:val="003A7BC3"/>
    <w:rsid w:val="003B0708"/>
    <w:rsid w:val="003B10ED"/>
    <w:rsid w:val="003B1A14"/>
    <w:rsid w:val="003B2012"/>
    <w:rsid w:val="003B268E"/>
    <w:rsid w:val="003B4801"/>
    <w:rsid w:val="003B4BD7"/>
    <w:rsid w:val="003B5E54"/>
    <w:rsid w:val="003B6947"/>
    <w:rsid w:val="003B7336"/>
    <w:rsid w:val="003B7C9A"/>
    <w:rsid w:val="003C072E"/>
    <w:rsid w:val="003C08D5"/>
    <w:rsid w:val="003C0D6C"/>
    <w:rsid w:val="003C1718"/>
    <w:rsid w:val="003C1742"/>
    <w:rsid w:val="003C1D80"/>
    <w:rsid w:val="003C2E09"/>
    <w:rsid w:val="003C379C"/>
    <w:rsid w:val="003C3F33"/>
    <w:rsid w:val="003C4455"/>
    <w:rsid w:val="003C46CF"/>
    <w:rsid w:val="003C486F"/>
    <w:rsid w:val="003C48BF"/>
    <w:rsid w:val="003C50BE"/>
    <w:rsid w:val="003D089A"/>
    <w:rsid w:val="003D16DB"/>
    <w:rsid w:val="003D1F4A"/>
    <w:rsid w:val="003D251D"/>
    <w:rsid w:val="003D3749"/>
    <w:rsid w:val="003D3BA1"/>
    <w:rsid w:val="003D474C"/>
    <w:rsid w:val="003D6696"/>
    <w:rsid w:val="003D7A01"/>
    <w:rsid w:val="003D7F97"/>
    <w:rsid w:val="003E177D"/>
    <w:rsid w:val="003E19F1"/>
    <w:rsid w:val="003E21D4"/>
    <w:rsid w:val="003E2AC3"/>
    <w:rsid w:val="003E2BEB"/>
    <w:rsid w:val="003E352F"/>
    <w:rsid w:val="003E369B"/>
    <w:rsid w:val="003E38CF"/>
    <w:rsid w:val="003E3CD0"/>
    <w:rsid w:val="003E3E84"/>
    <w:rsid w:val="003E4062"/>
    <w:rsid w:val="003E4CE8"/>
    <w:rsid w:val="003E56E0"/>
    <w:rsid w:val="003E5C67"/>
    <w:rsid w:val="003E767F"/>
    <w:rsid w:val="003F045E"/>
    <w:rsid w:val="003F0478"/>
    <w:rsid w:val="003F0602"/>
    <w:rsid w:val="003F0D5C"/>
    <w:rsid w:val="003F1123"/>
    <w:rsid w:val="003F17EE"/>
    <w:rsid w:val="003F24D6"/>
    <w:rsid w:val="003F258F"/>
    <w:rsid w:val="003F297B"/>
    <w:rsid w:val="003F2A7A"/>
    <w:rsid w:val="003F2BC3"/>
    <w:rsid w:val="003F33A9"/>
    <w:rsid w:val="003F37C6"/>
    <w:rsid w:val="003F45FB"/>
    <w:rsid w:val="003F4C66"/>
    <w:rsid w:val="003F55E1"/>
    <w:rsid w:val="003F5E3C"/>
    <w:rsid w:val="003F5FCD"/>
    <w:rsid w:val="003F63EF"/>
    <w:rsid w:val="003F704B"/>
    <w:rsid w:val="003F741C"/>
    <w:rsid w:val="003F749A"/>
    <w:rsid w:val="003F7DED"/>
    <w:rsid w:val="00400072"/>
    <w:rsid w:val="00400AC8"/>
    <w:rsid w:val="00402AB5"/>
    <w:rsid w:val="00402DD3"/>
    <w:rsid w:val="00404C70"/>
    <w:rsid w:val="00404CC2"/>
    <w:rsid w:val="004054A3"/>
    <w:rsid w:val="004057A1"/>
    <w:rsid w:val="004065F0"/>
    <w:rsid w:val="00406F0E"/>
    <w:rsid w:val="004075D9"/>
    <w:rsid w:val="00407875"/>
    <w:rsid w:val="004079AD"/>
    <w:rsid w:val="00407A36"/>
    <w:rsid w:val="00407F1C"/>
    <w:rsid w:val="004103FC"/>
    <w:rsid w:val="00410E0B"/>
    <w:rsid w:val="00411A0D"/>
    <w:rsid w:val="00411E08"/>
    <w:rsid w:val="0041202A"/>
    <w:rsid w:val="00412E13"/>
    <w:rsid w:val="004147D0"/>
    <w:rsid w:val="0041485A"/>
    <w:rsid w:val="00414B54"/>
    <w:rsid w:val="00415BC8"/>
    <w:rsid w:val="00415DA3"/>
    <w:rsid w:val="00416380"/>
    <w:rsid w:val="00416688"/>
    <w:rsid w:val="004168CB"/>
    <w:rsid w:val="004169FD"/>
    <w:rsid w:val="00416B67"/>
    <w:rsid w:val="00417610"/>
    <w:rsid w:val="0041797E"/>
    <w:rsid w:val="00417B12"/>
    <w:rsid w:val="00420B66"/>
    <w:rsid w:val="00420D99"/>
    <w:rsid w:val="00422AD4"/>
    <w:rsid w:val="00422FCC"/>
    <w:rsid w:val="004247F8"/>
    <w:rsid w:val="00424BF8"/>
    <w:rsid w:val="00425021"/>
    <w:rsid w:val="004250FF"/>
    <w:rsid w:val="00426385"/>
    <w:rsid w:val="00426AB6"/>
    <w:rsid w:val="00427863"/>
    <w:rsid w:val="00427AD9"/>
    <w:rsid w:val="00427F30"/>
    <w:rsid w:val="004307CF"/>
    <w:rsid w:val="00430AA3"/>
    <w:rsid w:val="00430ACF"/>
    <w:rsid w:val="004311A2"/>
    <w:rsid w:val="00431539"/>
    <w:rsid w:val="004315F7"/>
    <w:rsid w:val="004317B2"/>
    <w:rsid w:val="00432B03"/>
    <w:rsid w:val="00432E24"/>
    <w:rsid w:val="00433A11"/>
    <w:rsid w:val="00433A8D"/>
    <w:rsid w:val="0043419A"/>
    <w:rsid w:val="00434361"/>
    <w:rsid w:val="00434458"/>
    <w:rsid w:val="0043617C"/>
    <w:rsid w:val="004364F0"/>
    <w:rsid w:val="00436833"/>
    <w:rsid w:val="00436E26"/>
    <w:rsid w:val="004371F6"/>
    <w:rsid w:val="0043735C"/>
    <w:rsid w:val="00437C7C"/>
    <w:rsid w:val="00437E12"/>
    <w:rsid w:val="00440519"/>
    <w:rsid w:val="004405C0"/>
    <w:rsid w:val="00440CC0"/>
    <w:rsid w:val="004416F7"/>
    <w:rsid w:val="004423F6"/>
    <w:rsid w:val="00442597"/>
    <w:rsid w:val="00442B86"/>
    <w:rsid w:val="00442CDB"/>
    <w:rsid w:val="00443102"/>
    <w:rsid w:val="004433AE"/>
    <w:rsid w:val="0044380D"/>
    <w:rsid w:val="00443EC7"/>
    <w:rsid w:val="004443E5"/>
    <w:rsid w:val="004444D0"/>
    <w:rsid w:val="004444FB"/>
    <w:rsid w:val="00447266"/>
    <w:rsid w:val="004472C4"/>
    <w:rsid w:val="00447556"/>
    <w:rsid w:val="004502BE"/>
    <w:rsid w:val="00450F17"/>
    <w:rsid w:val="00451A6A"/>
    <w:rsid w:val="00451DFB"/>
    <w:rsid w:val="00452AE7"/>
    <w:rsid w:val="00452F25"/>
    <w:rsid w:val="00453BD7"/>
    <w:rsid w:val="004541B2"/>
    <w:rsid w:val="00454529"/>
    <w:rsid w:val="00455674"/>
    <w:rsid w:val="00455B1C"/>
    <w:rsid w:val="00456391"/>
    <w:rsid w:val="004567C4"/>
    <w:rsid w:val="00457B81"/>
    <w:rsid w:val="00460DAA"/>
    <w:rsid w:val="00461B33"/>
    <w:rsid w:val="00461BD1"/>
    <w:rsid w:val="00461C43"/>
    <w:rsid w:val="0046294D"/>
    <w:rsid w:val="00464BBD"/>
    <w:rsid w:val="00465659"/>
    <w:rsid w:val="00465CE2"/>
    <w:rsid w:val="0046660A"/>
    <w:rsid w:val="004667FD"/>
    <w:rsid w:val="00466830"/>
    <w:rsid w:val="004672A9"/>
    <w:rsid w:val="00467555"/>
    <w:rsid w:val="00467664"/>
    <w:rsid w:val="004705FC"/>
    <w:rsid w:val="004706DA"/>
    <w:rsid w:val="00470E41"/>
    <w:rsid w:val="00470E7B"/>
    <w:rsid w:val="00471301"/>
    <w:rsid w:val="00472553"/>
    <w:rsid w:val="00472BC0"/>
    <w:rsid w:val="00473E29"/>
    <w:rsid w:val="00474036"/>
    <w:rsid w:val="00474D95"/>
    <w:rsid w:val="00475BA1"/>
    <w:rsid w:val="00476AB7"/>
    <w:rsid w:val="00477EC4"/>
    <w:rsid w:val="0048023C"/>
    <w:rsid w:val="0048130C"/>
    <w:rsid w:val="00481735"/>
    <w:rsid w:val="004818AF"/>
    <w:rsid w:val="00482320"/>
    <w:rsid w:val="00483CB3"/>
    <w:rsid w:val="0048410F"/>
    <w:rsid w:val="0048522D"/>
    <w:rsid w:val="004864F7"/>
    <w:rsid w:val="0049062B"/>
    <w:rsid w:val="0049211E"/>
    <w:rsid w:val="00492635"/>
    <w:rsid w:val="004928B5"/>
    <w:rsid w:val="00493689"/>
    <w:rsid w:val="0049488A"/>
    <w:rsid w:val="00495426"/>
    <w:rsid w:val="00495467"/>
    <w:rsid w:val="004958E6"/>
    <w:rsid w:val="00495B56"/>
    <w:rsid w:val="00495C52"/>
    <w:rsid w:val="00495CA2"/>
    <w:rsid w:val="00495D29"/>
    <w:rsid w:val="004965CD"/>
    <w:rsid w:val="004974AD"/>
    <w:rsid w:val="00497A3C"/>
    <w:rsid w:val="004A0151"/>
    <w:rsid w:val="004A0346"/>
    <w:rsid w:val="004A0E09"/>
    <w:rsid w:val="004A1EBB"/>
    <w:rsid w:val="004A247E"/>
    <w:rsid w:val="004A2945"/>
    <w:rsid w:val="004A2CE0"/>
    <w:rsid w:val="004A2E4E"/>
    <w:rsid w:val="004A3585"/>
    <w:rsid w:val="004A35E4"/>
    <w:rsid w:val="004A3E5D"/>
    <w:rsid w:val="004A46AD"/>
    <w:rsid w:val="004A47AB"/>
    <w:rsid w:val="004A4EA0"/>
    <w:rsid w:val="004A55E4"/>
    <w:rsid w:val="004A6175"/>
    <w:rsid w:val="004A6B24"/>
    <w:rsid w:val="004A6E0A"/>
    <w:rsid w:val="004A72AB"/>
    <w:rsid w:val="004A73E2"/>
    <w:rsid w:val="004A7C6D"/>
    <w:rsid w:val="004A7E6C"/>
    <w:rsid w:val="004B4168"/>
    <w:rsid w:val="004B46F3"/>
    <w:rsid w:val="004B4ADA"/>
    <w:rsid w:val="004B5312"/>
    <w:rsid w:val="004B5381"/>
    <w:rsid w:val="004B577C"/>
    <w:rsid w:val="004B5C7E"/>
    <w:rsid w:val="004B6773"/>
    <w:rsid w:val="004B7C3E"/>
    <w:rsid w:val="004C0BD1"/>
    <w:rsid w:val="004C1B32"/>
    <w:rsid w:val="004C1D0E"/>
    <w:rsid w:val="004C2186"/>
    <w:rsid w:val="004C24F3"/>
    <w:rsid w:val="004C2B22"/>
    <w:rsid w:val="004C3A6C"/>
    <w:rsid w:val="004C3A84"/>
    <w:rsid w:val="004C4C52"/>
    <w:rsid w:val="004C5AE2"/>
    <w:rsid w:val="004C6218"/>
    <w:rsid w:val="004C6DE5"/>
    <w:rsid w:val="004C7EBA"/>
    <w:rsid w:val="004D0D4F"/>
    <w:rsid w:val="004D29E6"/>
    <w:rsid w:val="004D2A25"/>
    <w:rsid w:val="004D429E"/>
    <w:rsid w:val="004D479F"/>
    <w:rsid w:val="004D482A"/>
    <w:rsid w:val="004D4AC4"/>
    <w:rsid w:val="004D4D5D"/>
    <w:rsid w:val="004D5C44"/>
    <w:rsid w:val="004D622A"/>
    <w:rsid w:val="004D643E"/>
    <w:rsid w:val="004D6802"/>
    <w:rsid w:val="004D6D78"/>
    <w:rsid w:val="004D7169"/>
    <w:rsid w:val="004E01A2"/>
    <w:rsid w:val="004E0301"/>
    <w:rsid w:val="004E189C"/>
    <w:rsid w:val="004E190E"/>
    <w:rsid w:val="004E2EF0"/>
    <w:rsid w:val="004E3F2A"/>
    <w:rsid w:val="004E4362"/>
    <w:rsid w:val="004E50C0"/>
    <w:rsid w:val="004E514D"/>
    <w:rsid w:val="004E5E4B"/>
    <w:rsid w:val="004E6452"/>
    <w:rsid w:val="004E680F"/>
    <w:rsid w:val="004E6BC6"/>
    <w:rsid w:val="004E6EA1"/>
    <w:rsid w:val="004E721D"/>
    <w:rsid w:val="004F0B96"/>
    <w:rsid w:val="004F1410"/>
    <w:rsid w:val="004F18EF"/>
    <w:rsid w:val="004F1A14"/>
    <w:rsid w:val="004F1AD4"/>
    <w:rsid w:val="004F1E5E"/>
    <w:rsid w:val="004F1F2D"/>
    <w:rsid w:val="004F25C5"/>
    <w:rsid w:val="004F2C57"/>
    <w:rsid w:val="004F360B"/>
    <w:rsid w:val="004F3F2F"/>
    <w:rsid w:val="004F4A64"/>
    <w:rsid w:val="004F4E8F"/>
    <w:rsid w:val="004F5110"/>
    <w:rsid w:val="004F5F22"/>
    <w:rsid w:val="004F61DA"/>
    <w:rsid w:val="004F6583"/>
    <w:rsid w:val="004F65C3"/>
    <w:rsid w:val="004F68A5"/>
    <w:rsid w:val="004F6B45"/>
    <w:rsid w:val="004F7493"/>
    <w:rsid w:val="00500AFA"/>
    <w:rsid w:val="00501E0A"/>
    <w:rsid w:val="0050270D"/>
    <w:rsid w:val="005030A1"/>
    <w:rsid w:val="00503B23"/>
    <w:rsid w:val="00504418"/>
    <w:rsid w:val="00504EA7"/>
    <w:rsid w:val="00506BE6"/>
    <w:rsid w:val="0051043D"/>
    <w:rsid w:val="0051078D"/>
    <w:rsid w:val="00511297"/>
    <w:rsid w:val="00511654"/>
    <w:rsid w:val="005121B0"/>
    <w:rsid w:val="0051272E"/>
    <w:rsid w:val="005132EA"/>
    <w:rsid w:val="00514C20"/>
    <w:rsid w:val="00515CF9"/>
    <w:rsid w:val="00515EE4"/>
    <w:rsid w:val="00516398"/>
    <w:rsid w:val="00516580"/>
    <w:rsid w:val="005175D0"/>
    <w:rsid w:val="00520CBB"/>
    <w:rsid w:val="00523D23"/>
    <w:rsid w:val="00523D84"/>
    <w:rsid w:val="00524324"/>
    <w:rsid w:val="0052515F"/>
    <w:rsid w:val="005262B0"/>
    <w:rsid w:val="00526355"/>
    <w:rsid w:val="0052698F"/>
    <w:rsid w:val="00526E5C"/>
    <w:rsid w:val="00527067"/>
    <w:rsid w:val="005303E4"/>
    <w:rsid w:val="00531D8D"/>
    <w:rsid w:val="0053280F"/>
    <w:rsid w:val="005335F0"/>
    <w:rsid w:val="00533D93"/>
    <w:rsid w:val="005350C0"/>
    <w:rsid w:val="005356FD"/>
    <w:rsid w:val="00535820"/>
    <w:rsid w:val="00536264"/>
    <w:rsid w:val="00536568"/>
    <w:rsid w:val="0053697E"/>
    <w:rsid w:val="00540645"/>
    <w:rsid w:val="00541DDE"/>
    <w:rsid w:val="00542105"/>
    <w:rsid w:val="00542300"/>
    <w:rsid w:val="005437F1"/>
    <w:rsid w:val="00543B8A"/>
    <w:rsid w:val="00543C48"/>
    <w:rsid w:val="00543DB5"/>
    <w:rsid w:val="00544095"/>
    <w:rsid w:val="005444A4"/>
    <w:rsid w:val="0054460E"/>
    <w:rsid w:val="0054489F"/>
    <w:rsid w:val="00545767"/>
    <w:rsid w:val="00545A4F"/>
    <w:rsid w:val="00545DAD"/>
    <w:rsid w:val="005462D7"/>
    <w:rsid w:val="00546A9C"/>
    <w:rsid w:val="00546F38"/>
    <w:rsid w:val="00547955"/>
    <w:rsid w:val="005505F4"/>
    <w:rsid w:val="00550D7A"/>
    <w:rsid w:val="00551215"/>
    <w:rsid w:val="00552270"/>
    <w:rsid w:val="005524B3"/>
    <w:rsid w:val="00552CA9"/>
    <w:rsid w:val="005531EB"/>
    <w:rsid w:val="00553834"/>
    <w:rsid w:val="0055389F"/>
    <w:rsid w:val="0055397B"/>
    <w:rsid w:val="00553BD8"/>
    <w:rsid w:val="005556A7"/>
    <w:rsid w:val="00555A19"/>
    <w:rsid w:val="0055602A"/>
    <w:rsid w:val="00556311"/>
    <w:rsid w:val="0055642E"/>
    <w:rsid w:val="00556CBA"/>
    <w:rsid w:val="00556EF9"/>
    <w:rsid w:val="005574B4"/>
    <w:rsid w:val="00557667"/>
    <w:rsid w:val="005616FA"/>
    <w:rsid w:val="00562C82"/>
    <w:rsid w:val="00563CC0"/>
    <w:rsid w:val="00564AD0"/>
    <w:rsid w:val="005658F9"/>
    <w:rsid w:val="00565A7A"/>
    <w:rsid w:val="005661EE"/>
    <w:rsid w:val="0056671D"/>
    <w:rsid w:val="00566893"/>
    <w:rsid w:val="00566F3B"/>
    <w:rsid w:val="005674CE"/>
    <w:rsid w:val="00567589"/>
    <w:rsid w:val="005679C5"/>
    <w:rsid w:val="00567B2A"/>
    <w:rsid w:val="00570B7B"/>
    <w:rsid w:val="0057125A"/>
    <w:rsid w:val="005717DB"/>
    <w:rsid w:val="00571F9E"/>
    <w:rsid w:val="005720CF"/>
    <w:rsid w:val="005729EF"/>
    <w:rsid w:val="00572F5E"/>
    <w:rsid w:val="00573574"/>
    <w:rsid w:val="00573D48"/>
    <w:rsid w:val="00573D80"/>
    <w:rsid w:val="00574230"/>
    <w:rsid w:val="0057472E"/>
    <w:rsid w:val="0057581B"/>
    <w:rsid w:val="00575935"/>
    <w:rsid w:val="0057694F"/>
    <w:rsid w:val="00577A1C"/>
    <w:rsid w:val="005800A1"/>
    <w:rsid w:val="005803E4"/>
    <w:rsid w:val="0058041A"/>
    <w:rsid w:val="0058208A"/>
    <w:rsid w:val="00582563"/>
    <w:rsid w:val="00583614"/>
    <w:rsid w:val="00583790"/>
    <w:rsid w:val="00583C8B"/>
    <w:rsid w:val="00583E78"/>
    <w:rsid w:val="0058408C"/>
    <w:rsid w:val="00585876"/>
    <w:rsid w:val="005859F1"/>
    <w:rsid w:val="00586ADB"/>
    <w:rsid w:val="00586F4B"/>
    <w:rsid w:val="00587006"/>
    <w:rsid w:val="00587190"/>
    <w:rsid w:val="005871BF"/>
    <w:rsid w:val="005877E4"/>
    <w:rsid w:val="00587D6D"/>
    <w:rsid w:val="0059065C"/>
    <w:rsid w:val="00590F5F"/>
    <w:rsid w:val="00591378"/>
    <w:rsid w:val="00591D91"/>
    <w:rsid w:val="00592E64"/>
    <w:rsid w:val="00594434"/>
    <w:rsid w:val="00594763"/>
    <w:rsid w:val="005950C4"/>
    <w:rsid w:val="005952BC"/>
    <w:rsid w:val="00595388"/>
    <w:rsid w:val="0059557B"/>
    <w:rsid w:val="00595766"/>
    <w:rsid w:val="0059585F"/>
    <w:rsid w:val="005963E0"/>
    <w:rsid w:val="005965B4"/>
    <w:rsid w:val="00597198"/>
    <w:rsid w:val="00597363"/>
    <w:rsid w:val="005A05F7"/>
    <w:rsid w:val="005A095E"/>
    <w:rsid w:val="005A0BB5"/>
    <w:rsid w:val="005A0EE4"/>
    <w:rsid w:val="005A152A"/>
    <w:rsid w:val="005A2204"/>
    <w:rsid w:val="005A295D"/>
    <w:rsid w:val="005A2C1C"/>
    <w:rsid w:val="005A3D26"/>
    <w:rsid w:val="005A54C9"/>
    <w:rsid w:val="005A564F"/>
    <w:rsid w:val="005A6389"/>
    <w:rsid w:val="005A6991"/>
    <w:rsid w:val="005B010C"/>
    <w:rsid w:val="005B0157"/>
    <w:rsid w:val="005B01DB"/>
    <w:rsid w:val="005B098B"/>
    <w:rsid w:val="005B0B1D"/>
    <w:rsid w:val="005B145B"/>
    <w:rsid w:val="005B1F49"/>
    <w:rsid w:val="005B27B5"/>
    <w:rsid w:val="005B2B9E"/>
    <w:rsid w:val="005B3EF5"/>
    <w:rsid w:val="005B3EF9"/>
    <w:rsid w:val="005B43C1"/>
    <w:rsid w:val="005B4649"/>
    <w:rsid w:val="005B4A59"/>
    <w:rsid w:val="005B5814"/>
    <w:rsid w:val="005B58A3"/>
    <w:rsid w:val="005B59B9"/>
    <w:rsid w:val="005B59E0"/>
    <w:rsid w:val="005B728C"/>
    <w:rsid w:val="005B79F9"/>
    <w:rsid w:val="005C0387"/>
    <w:rsid w:val="005C07E2"/>
    <w:rsid w:val="005C08B0"/>
    <w:rsid w:val="005C115F"/>
    <w:rsid w:val="005C11E2"/>
    <w:rsid w:val="005C20B7"/>
    <w:rsid w:val="005C20D2"/>
    <w:rsid w:val="005C272F"/>
    <w:rsid w:val="005C2A23"/>
    <w:rsid w:val="005C2E07"/>
    <w:rsid w:val="005C34B9"/>
    <w:rsid w:val="005C35AE"/>
    <w:rsid w:val="005C3D7F"/>
    <w:rsid w:val="005C4186"/>
    <w:rsid w:val="005C4442"/>
    <w:rsid w:val="005C56AD"/>
    <w:rsid w:val="005C5E06"/>
    <w:rsid w:val="005C6227"/>
    <w:rsid w:val="005C6B2D"/>
    <w:rsid w:val="005C6CFB"/>
    <w:rsid w:val="005C7415"/>
    <w:rsid w:val="005C78BB"/>
    <w:rsid w:val="005D0E32"/>
    <w:rsid w:val="005D14C9"/>
    <w:rsid w:val="005D1574"/>
    <w:rsid w:val="005D1A85"/>
    <w:rsid w:val="005D237E"/>
    <w:rsid w:val="005D31D5"/>
    <w:rsid w:val="005D38AE"/>
    <w:rsid w:val="005D3F04"/>
    <w:rsid w:val="005D47FB"/>
    <w:rsid w:val="005D4A4B"/>
    <w:rsid w:val="005D4E96"/>
    <w:rsid w:val="005D7D83"/>
    <w:rsid w:val="005E1767"/>
    <w:rsid w:val="005E1D97"/>
    <w:rsid w:val="005E1E4E"/>
    <w:rsid w:val="005E250A"/>
    <w:rsid w:val="005E3308"/>
    <w:rsid w:val="005E3AF6"/>
    <w:rsid w:val="005E54EB"/>
    <w:rsid w:val="005E56AF"/>
    <w:rsid w:val="005E6106"/>
    <w:rsid w:val="005E71D8"/>
    <w:rsid w:val="005F0C5C"/>
    <w:rsid w:val="005F0E6E"/>
    <w:rsid w:val="005F1041"/>
    <w:rsid w:val="005F1735"/>
    <w:rsid w:val="005F3AB5"/>
    <w:rsid w:val="005F42E7"/>
    <w:rsid w:val="005F460D"/>
    <w:rsid w:val="005F4991"/>
    <w:rsid w:val="005F5377"/>
    <w:rsid w:val="005F592F"/>
    <w:rsid w:val="005F5956"/>
    <w:rsid w:val="005F59F9"/>
    <w:rsid w:val="005F5C1F"/>
    <w:rsid w:val="005F5CE7"/>
    <w:rsid w:val="005F5D8F"/>
    <w:rsid w:val="005F642F"/>
    <w:rsid w:val="005F6D8D"/>
    <w:rsid w:val="005F736F"/>
    <w:rsid w:val="005F7F9C"/>
    <w:rsid w:val="0060006B"/>
    <w:rsid w:val="00600A60"/>
    <w:rsid w:val="00602275"/>
    <w:rsid w:val="00602885"/>
    <w:rsid w:val="006028C2"/>
    <w:rsid w:val="00602E00"/>
    <w:rsid w:val="0060337A"/>
    <w:rsid w:val="00603A67"/>
    <w:rsid w:val="00603B66"/>
    <w:rsid w:val="006042D8"/>
    <w:rsid w:val="0060476B"/>
    <w:rsid w:val="006069DA"/>
    <w:rsid w:val="00606AC3"/>
    <w:rsid w:val="00606C16"/>
    <w:rsid w:val="00607EB3"/>
    <w:rsid w:val="00610E73"/>
    <w:rsid w:val="006113D2"/>
    <w:rsid w:val="00611767"/>
    <w:rsid w:val="00611C2E"/>
    <w:rsid w:val="00611C38"/>
    <w:rsid w:val="0061246F"/>
    <w:rsid w:val="0061250F"/>
    <w:rsid w:val="006132A6"/>
    <w:rsid w:val="00613512"/>
    <w:rsid w:val="0061368A"/>
    <w:rsid w:val="00613736"/>
    <w:rsid w:val="006143B6"/>
    <w:rsid w:val="006144C5"/>
    <w:rsid w:val="0061472D"/>
    <w:rsid w:val="00615405"/>
    <w:rsid w:val="006165AC"/>
    <w:rsid w:val="006167F5"/>
    <w:rsid w:val="00616BA4"/>
    <w:rsid w:val="006174DE"/>
    <w:rsid w:val="006177C7"/>
    <w:rsid w:val="00617B3A"/>
    <w:rsid w:val="00617DFF"/>
    <w:rsid w:val="0062167C"/>
    <w:rsid w:val="00621F46"/>
    <w:rsid w:val="00622A5B"/>
    <w:rsid w:val="006244F7"/>
    <w:rsid w:val="0062472E"/>
    <w:rsid w:val="0062506C"/>
    <w:rsid w:val="006267F5"/>
    <w:rsid w:val="00626B10"/>
    <w:rsid w:val="00627E57"/>
    <w:rsid w:val="0063006F"/>
    <w:rsid w:val="00630104"/>
    <w:rsid w:val="00630C89"/>
    <w:rsid w:val="0063192C"/>
    <w:rsid w:val="006320AE"/>
    <w:rsid w:val="006324E7"/>
    <w:rsid w:val="006332AA"/>
    <w:rsid w:val="0063395A"/>
    <w:rsid w:val="00633ACC"/>
    <w:rsid w:val="00634359"/>
    <w:rsid w:val="00634990"/>
    <w:rsid w:val="00635EBB"/>
    <w:rsid w:val="0064050C"/>
    <w:rsid w:val="00640F37"/>
    <w:rsid w:val="00640FBA"/>
    <w:rsid w:val="006414E1"/>
    <w:rsid w:val="0064222C"/>
    <w:rsid w:val="0064235F"/>
    <w:rsid w:val="00642BAA"/>
    <w:rsid w:val="00642C2C"/>
    <w:rsid w:val="00642E79"/>
    <w:rsid w:val="00643573"/>
    <w:rsid w:val="00643CFA"/>
    <w:rsid w:val="00643FDE"/>
    <w:rsid w:val="00645BB3"/>
    <w:rsid w:val="00646703"/>
    <w:rsid w:val="0064696F"/>
    <w:rsid w:val="00646C18"/>
    <w:rsid w:val="006473C8"/>
    <w:rsid w:val="00647FB5"/>
    <w:rsid w:val="0065002A"/>
    <w:rsid w:val="006501F6"/>
    <w:rsid w:val="00650C93"/>
    <w:rsid w:val="00650DBF"/>
    <w:rsid w:val="00651377"/>
    <w:rsid w:val="0065174F"/>
    <w:rsid w:val="00651A9B"/>
    <w:rsid w:val="00651C73"/>
    <w:rsid w:val="00651E68"/>
    <w:rsid w:val="00652469"/>
    <w:rsid w:val="00652F29"/>
    <w:rsid w:val="00652F7D"/>
    <w:rsid w:val="00653107"/>
    <w:rsid w:val="006532FC"/>
    <w:rsid w:val="006534D2"/>
    <w:rsid w:val="00653501"/>
    <w:rsid w:val="006536C7"/>
    <w:rsid w:val="00656808"/>
    <w:rsid w:val="00656B71"/>
    <w:rsid w:val="00657041"/>
    <w:rsid w:val="00657052"/>
    <w:rsid w:val="00657481"/>
    <w:rsid w:val="006576EA"/>
    <w:rsid w:val="006577BF"/>
    <w:rsid w:val="00660813"/>
    <w:rsid w:val="00662571"/>
    <w:rsid w:val="00662DB8"/>
    <w:rsid w:val="006645F4"/>
    <w:rsid w:val="00664872"/>
    <w:rsid w:val="00664A21"/>
    <w:rsid w:val="0066513A"/>
    <w:rsid w:val="0066691A"/>
    <w:rsid w:val="00666A52"/>
    <w:rsid w:val="006677D1"/>
    <w:rsid w:val="00667F7E"/>
    <w:rsid w:val="006705A3"/>
    <w:rsid w:val="00670B6C"/>
    <w:rsid w:val="00670DE1"/>
    <w:rsid w:val="0067109B"/>
    <w:rsid w:val="006718C2"/>
    <w:rsid w:val="006726D4"/>
    <w:rsid w:val="00672C81"/>
    <w:rsid w:val="00673086"/>
    <w:rsid w:val="0067339C"/>
    <w:rsid w:val="00675D07"/>
    <w:rsid w:val="006761D6"/>
    <w:rsid w:val="00676B24"/>
    <w:rsid w:val="006777B6"/>
    <w:rsid w:val="00680039"/>
    <w:rsid w:val="006804BE"/>
    <w:rsid w:val="006817BF"/>
    <w:rsid w:val="00681DA5"/>
    <w:rsid w:val="00682980"/>
    <w:rsid w:val="00682CB5"/>
    <w:rsid w:val="00682EF3"/>
    <w:rsid w:val="00683CA5"/>
    <w:rsid w:val="00684699"/>
    <w:rsid w:val="00685F89"/>
    <w:rsid w:val="00686122"/>
    <w:rsid w:val="00686AC6"/>
    <w:rsid w:val="006877E0"/>
    <w:rsid w:val="0069070A"/>
    <w:rsid w:val="00690EB8"/>
    <w:rsid w:val="00691137"/>
    <w:rsid w:val="00691323"/>
    <w:rsid w:val="0069220E"/>
    <w:rsid w:val="0069385A"/>
    <w:rsid w:val="006943AD"/>
    <w:rsid w:val="006949E6"/>
    <w:rsid w:val="00694FC8"/>
    <w:rsid w:val="006953C1"/>
    <w:rsid w:val="006967E6"/>
    <w:rsid w:val="006967F9"/>
    <w:rsid w:val="006969C2"/>
    <w:rsid w:val="0069715F"/>
    <w:rsid w:val="006972E7"/>
    <w:rsid w:val="00697593"/>
    <w:rsid w:val="00697959"/>
    <w:rsid w:val="00697D8C"/>
    <w:rsid w:val="006A0C09"/>
    <w:rsid w:val="006A1289"/>
    <w:rsid w:val="006A1945"/>
    <w:rsid w:val="006A1E92"/>
    <w:rsid w:val="006A24F8"/>
    <w:rsid w:val="006A261A"/>
    <w:rsid w:val="006A3C42"/>
    <w:rsid w:val="006A4CC8"/>
    <w:rsid w:val="006A4D65"/>
    <w:rsid w:val="006A53CD"/>
    <w:rsid w:val="006A546F"/>
    <w:rsid w:val="006A5C88"/>
    <w:rsid w:val="006A60FA"/>
    <w:rsid w:val="006A7505"/>
    <w:rsid w:val="006A76D0"/>
    <w:rsid w:val="006A7A03"/>
    <w:rsid w:val="006B0058"/>
    <w:rsid w:val="006B25CF"/>
    <w:rsid w:val="006B2783"/>
    <w:rsid w:val="006B2BC2"/>
    <w:rsid w:val="006B2F99"/>
    <w:rsid w:val="006B325B"/>
    <w:rsid w:val="006B4207"/>
    <w:rsid w:val="006B4E41"/>
    <w:rsid w:val="006B5B2D"/>
    <w:rsid w:val="006B5C86"/>
    <w:rsid w:val="006B736D"/>
    <w:rsid w:val="006B7DFD"/>
    <w:rsid w:val="006B7EBE"/>
    <w:rsid w:val="006C0B0C"/>
    <w:rsid w:val="006C0F06"/>
    <w:rsid w:val="006C187D"/>
    <w:rsid w:val="006C233C"/>
    <w:rsid w:val="006C282C"/>
    <w:rsid w:val="006C300A"/>
    <w:rsid w:val="006C3095"/>
    <w:rsid w:val="006C35F3"/>
    <w:rsid w:val="006C3D56"/>
    <w:rsid w:val="006C4A41"/>
    <w:rsid w:val="006C4E5B"/>
    <w:rsid w:val="006C50A6"/>
    <w:rsid w:val="006C6461"/>
    <w:rsid w:val="006D0814"/>
    <w:rsid w:val="006D139B"/>
    <w:rsid w:val="006D172C"/>
    <w:rsid w:val="006D1871"/>
    <w:rsid w:val="006D2089"/>
    <w:rsid w:val="006D20F6"/>
    <w:rsid w:val="006D35B2"/>
    <w:rsid w:val="006D5733"/>
    <w:rsid w:val="006D6361"/>
    <w:rsid w:val="006D6BB2"/>
    <w:rsid w:val="006D736C"/>
    <w:rsid w:val="006E0B2C"/>
    <w:rsid w:val="006E282A"/>
    <w:rsid w:val="006E2C22"/>
    <w:rsid w:val="006E3487"/>
    <w:rsid w:val="006E46CC"/>
    <w:rsid w:val="006E4D9C"/>
    <w:rsid w:val="006E53A4"/>
    <w:rsid w:val="006E5DC7"/>
    <w:rsid w:val="006E6E5B"/>
    <w:rsid w:val="006E7165"/>
    <w:rsid w:val="006E73B9"/>
    <w:rsid w:val="006F061C"/>
    <w:rsid w:val="006F0F60"/>
    <w:rsid w:val="006F1684"/>
    <w:rsid w:val="006F2F6C"/>
    <w:rsid w:val="006F2FC3"/>
    <w:rsid w:val="006F3231"/>
    <w:rsid w:val="006F33EC"/>
    <w:rsid w:val="006F40B0"/>
    <w:rsid w:val="006F49B5"/>
    <w:rsid w:val="006F509C"/>
    <w:rsid w:val="006F53F8"/>
    <w:rsid w:val="006F630C"/>
    <w:rsid w:val="006F64BE"/>
    <w:rsid w:val="006F6963"/>
    <w:rsid w:val="006F75EC"/>
    <w:rsid w:val="007000E9"/>
    <w:rsid w:val="007014BA"/>
    <w:rsid w:val="0070280E"/>
    <w:rsid w:val="00702ED7"/>
    <w:rsid w:val="0070342C"/>
    <w:rsid w:val="00703BEE"/>
    <w:rsid w:val="00703EA3"/>
    <w:rsid w:val="007054C5"/>
    <w:rsid w:val="00706BDA"/>
    <w:rsid w:val="00707B55"/>
    <w:rsid w:val="007100DF"/>
    <w:rsid w:val="007100F0"/>
    <w:rsid w:val="007104A5"/>
    <w:rsid w:val="00713A5C"/>
    <w:rsid w:val="00715929"/>
    <w:rsid w:val="00715AC8"/>
    <w:rsid w:val="00716033"/>
    <w:rsid w:val="00716E76"/>
    <w:rsid w:val="0071721A"/>
    <w:rsid w:val="007174C6"/>
    <w:rsid w:val="007203B1"/>
    <w:rsid w:val="007207A7"/>
    <w:rsid w:val="00720DAF"/>
    <w:rsid w:val="00721CC7"/>
    <w:rsid w:val="007221AF"/>
    <w:rsid w:val="00723506"/>
    <w:rsid w:val="00723592"/>
    <w:rsid w:val="00723703"/>
    <w:rsid w:val="00725247"/>
    <w:rsid w:val="00725490"/>
    <w:rsid w:val="0072669E"/>
    <w:rsid w:val="007275AB"/>
    <w:rsid w:val="00727EA4"/>
    <w:rsid w:val="007302E9"/>
    <w:rsid w:val="007319BB"/>
    <w:rsid w:val="00731A03"/>
    <w:rsid w:val="00731E73"/>
    <w:rsid w:val="007324B2"/>
    <w:rsid w:val="00732803"/>
    <w:rsid w:val="00733F20"/>
    <w:rsid w:val="00734C35"/>
    <w:rsid w:val="00734FF5"/>
    <w:rsid w:val="00736598"/>
    <w:rsid w:val="007365C0"/>
    <w:rsid w:val="00736618"/>
    <w:rsid w:val="00737346"/>
    <w:rsid w:val="00737DD3"/>
    <w:rsid w:val="00740D84"/>
    <w:rsid w:val="0074154C"/>
    <w:rsid w:val="007428DB"/>
    <w:rsid w:val="00742972"/>
    <w:rsid w:val="00742D2E"/>
    <w:rsid w:val="007438D9"/>
    <w:rsid w:val="00744603"/>
    <w:rsid w:val="007453EA"/>
    <w:rsid w:val="007463DC"/>
    <w:rsid w:val="00746B1F"/>
    <w:rsid w:val="00746B75"/>
    <w:rsid w:val="0074718A"/>
    <w:rsid w:val="00750375"/>
    <w:rsid w:val="007505C5"/>
    <w:rsid w:val="007524BD"/>
    <w:rsid w:val="00752F71"/>
    <w:rsid w:val="00753A95"/>
    <w:rsid w:val="00754D8B"/>
    <w:rsid w:val="007550D0"/>
    <w:rsid w:val="007556C0"/>
    <w:rsid w:val="00755828"/>
    <w:rsid w:val="007558D7"/>
    <w:rsid w:val="00755A50"/>
    <w:rsid w:val="007562EB"/>
    <w:rsid w:val="0075751B"/>
    <w:rsid w:val="00760C77"/>
    <w:rsid w:val="00761171"/>
    <w:rsid w:val="007614EF"/>
    <w:rsid w:val="007628B9"/>
    <w:rsid w:val="00762A8A"/>
    <w:rsid w:val="00762F43"/>
    <w:rsid w:val="007632FE"/>
    <w:rsid w:val="00763755"/>
    <w:rsid w:val="00763AD2"/>
    <w:rsid w:val="0076418C"/>
    <w:rsid w:val="00764B13"/>
    <w:rsid w:val="00765FEE"/>
    <w:rsid w:val="00767A55"/>
    <w:rsid w:val="00767C10"/>
    <w:rsid w:val="007715B1"/>
    <w:rsid w:val="00771A02"/>
    <w:rsid w:val="00771A81"/>
    <w:rsid w:val="00771DCD"/>
    <w:rsid w:val="00772F09"/>
    <w:rsid w:val="0077311D"/>
    <w:rsid w:val="00774506"/>
    <w:rsid w:val="00774946"/>
    <w:rsid w:val="007763C3"/>
    <w:rsid w:val="00776782"/>
    <w:rsid w:val="0077786A"/>
    <w:rsid w:val="007813AD"/>
    <w:rsid w:val="007818CF"/>
    <w:rsid w:val="0078235E"/>
    <w:rsid w:val="00782AB3"/>
    <w:rsid w:val="0078337A"/>
    <w:rsid w:val="0078379B"/>
    <w:rsid w:val="007843F7"/>
    <w:rsid w:val="00784F27"/>
    <w:rsid w:val="00785378"/>
    <w:rsid w:val="00786043"/>
    <w:rsid w:val="0078656A"/>
    <w:rsid w:val="0078698A"/>
    <w:rsid w:val="00786B11"/>
    <w:rsid w:val="007870EB"/>
    <w:rsid w:val="007902A8"/>
    <w:rsid w:val="007902B6"/>
    <w:rsid w:val="00790C02"/>
    <w:rsid w:val="007913C5"/>
    <w:rsid w:val="0079152B"/>
    <w:rsid w:val="00791B82"/>
    <w:rsid w:val="00793797"/>
    <w:rsid w:val="007943B8"/>
    <w:rsid w:val="00794FB3"/>
    <w:rsid w:val="007954CB"/>
    <w:rsid w:val="00796B84"/>
    <w:rsid w:val="00797030"/>
    <w:rsid w:val="007970A1"/>
    <w:rsid w:val="00797E32"/>
    <w:rsid w:val="007A044C"/>
    <w:rsid w:val="007A0FCF"/>
    <w:rsid w:val="007A137F"/>
    <w:rsid w:val="007A2214"/>
    <w:rsid w:val="007A4D2D"/>
    <w:rsid w:val="007A4DFE"/>
    <w:rsid w:val="007A55A1"/>
    <w:rsid w:val="007A5A50"/>
    <w:rsid w:val="007A6DFC"/>
    <w:rsid w:val="007A74E0"/>
    <w:rsid w:val="007A7BFF"/>
    <w:rsid w:val="007B0188"/>
    <w:rsid w:val="007B0E9A"/>
    <w:rsid w:val="007B109D"/>
    <w:rsid w:val="007B118F"/>
    <w:rsid w:val="007B1DA8"/>
    <w:rsid w:val="007B2E0C"/>
    <w:rsid w:val="007B66C4"/>
    <w:rsid w:val="007B7107"/>
    <w:rsid w:val="007B734A"/>
    <w:rsid w:val="007B751A"/>
    <w:rsid w:val="007B78F2"/>
    <w:rsid w:val="007B7F32"/>
    <w:rsid w:val="007C06D2"/>
    <w:rsid w:val="007C0D4E"/>
    <w:rsid w:val="007C303A"/>
    <w:rsid w:val="007C3C79"/>
    <w:rsid w:val="007C4226"/>
    <w:rsid w:val="007C4584"/>
    <w:rsid w:val="007C4C26"/>
    <w:rsid w:val="007C4FC5"/>
    <w:rsid w:val="007C51CC"/>
    <w:rsid w:val="007C529A"/>
    <w:rsid w:val="007C53D1"/>
    <w:rsid w:val="007C562B"/>
    <w:rsid w:val="007C5A06"/>
    <w:rsid w:val="007C5C8A"/>
    <w:rsid w:val="007C640C"/>
    <w:rsid w:val="007C6BDF"/>
    <w:rsid w:val="007C77FA"/>
    <w:rsid w:val="007D0413"/>
    <w:rsid w:val="007D2E33"/>
    <w:rsid w:val="007D3A00"/>
    <w:rsid w:val="007D54BD"/>
    <w:rsid w:val="007D5C7B"/>
    <w:rsid w:val="007D608F"/>
    <w:rsid w:val="007D6180"/>
    <w:rsid w:val="007D6F9C"/>
    <w:rsid w:val="007D7757"/>
    <w:rsid w:val="007D77E0"/>
    <w:rsid w:val="007E1BAD"/>
    <w:rsid w:val="007E2F6D"/>
    <w:rsid w:val="007E3320"/>
    <w:rsid w:val="007E341B"/>
    <w:rsid w:val="007E3728"/>
    <w:rsid w:val="007E4060"/>
    <w:rsid w:val="007E5014"/>
    <w:rsid w:val="007E545E"/>
    <w:rsid w:val="007E66CF"/>
    <w:rsid w:val="007E66EB"/>
    <w:rsid w:val="007E6C92"/>
    <w:rsid w:val="007E7263"/>
    <w:rsid w:val="007E77BB"/>
    <w:rsid w:val="007F0CFB"/>
    <w:rsid w:val="007F0DD1"/>
    <w:rsid w:val="007F13E1"/>
    <w:rsid w:val="007F22D9"/>
    <w:rsid w:val="007F43F6"/>
    <w:rsid w:val="007F60AB"/>
    <w:rsid w:val="007F6626"/>
    <w:rsid w:val="007F6739"/>
    <w:rsid w:val="007F687B"/>
    <w:rsid w:val="00800B7A"/>
    <w:rsid w:val="00800FD0"/>
    <w:rsid w:val="0080108B"/>
    <w:rsid w:val="00801732"/>
    <w:rsid w:val="00801CFD"/>
    <w:rsid w:val="00803B1C"/>
    <w:rsid w:val="008040F1"/>
    <w:rsid w:val="00804602"/>
    <w:rsid w:val="0080490C"/>
    <w:rsid w:val="008050F5"/>
    <w:rsid w:val="0080583F"/>
    <w:rsid w:val="00805A05"/>
    <w:rsid w:val="00807E93"/>
    <w:rsid w:val="0081006F"/>
    <w:rsid w:val="00811EB1"/>
    <w:rsid w:val="00811EBE"/>
    <w:rsid w:val="00812E95"/>
    <w:rsid w:val="00813C60"/>
    <w:rsid w:val="0081401B"/>
    <w:rsid w:val="008151B4"/>
    <w:rsid w:val="00815CDE"/>
    <w:rsid w:val="008167CF"/>
    <w:rsid w:val="00816A55"/>
    <w:rsid w:val="00816D0C"/>
    <w:rsid w:val="00817D68"/>
    <w:rsid w:val="0082063E"/>
    <w:rsid w:val="008212EC"/>
    <w:rsid w:val="00821E1D"/>
    <w:rsid w:val="00821F72"/>
    <w:rsid w:val="0082342F"/>
    <w:rsid w:val="00823D73"/>
    <w:rsid w:val="008245D3"/>
    <w:rsid w:val="00825045"/>
    <w:rsid w:val="00825C5E"/>
    <w:rsid w:val="00826DA5"/>
    <w:rsid w:val="00826DCF"/>
    <w:rsid w:val="008301DE"/>
    <w:rsid w:val="0083191A"/>
    <w:rsid w:val="008326E4"/>
    <w:rsid w:val="00833D9F"/>
    <w:rsid w:val="008344B1"/>
    <w:rsid w:val="0083469C"/>
    <w:rsid w:val="008347A8"/>
    <w:rsid w:val="00834F53"/>
    <w:rsid w:val="0083557C"/>
    <w:rsid w:val="008359D1"/>
    <w:rsid w:val="00835A89"/>
    <w:rsid w:val="00835EDE"/>
    <w:rsid w:val="00835EE9"/>
    <w:rsid w:val="008372F8"/>
    <w:rsid w:val="00837439"/>
    <w:rsid w:val="0083766A"/>
    <w:rsid w:val="00837685"/>
    <w:rsid w:val="00837B97"/>
    <w:rsid w:val="0084098D"/>
    <w:rsid w:val="00840AD4"/>
    <w:rsid w:val="008419DD"/>
    <w:rsid w:val="00841BD1"/>
    <w:rsid w:val="008422EC"/>
    <w:rsid w:val="00842746"/>
    <w:rsid w:val="0084346E"/>
    <w:rsid w:val="00843850"/>
    <w:rsid w:val="00843B58"/>
    <w:rsid w:val="00844885"/>
    <w:rsid w:val="00845565"/>
    <w:rsid w:val="00845D22"/>
    <w:rsid w:val="008465FD"/>
    <w:rsid w:val="008467D6"/>
    <w:rsid w:val="008501B9"/>
    <w:rsid w:val="0085053B"/>
    <w:rsid w:val="008508CB"/>
    <w:rsid w:val="00851B29"/>
    <w:rsid w:val="00852433"/>
    <w:rsid w:val="0085263E"/>
    <w:rsid w:val="00853233"/>
    <w:rsid w:val="008534E1"/>
    <w:rsid w:val="008537AB"/>
    <w:rsid w:val="00853928"/>
    <w:rsid w:val="0085516D"/>
    <w:rsid w:val="00856DDB"/>
    <w:rsid w:val="00856E35"/>
    <w:rsid w:val="00856F65"/>
    <w:rsid w:val="00857228"/>
    <w:rsid w:val="00857AFC"/>
    <w:rsid w:val="00860293"/>
    <w:rsid w:val="008602FC"/>
    <w:rsid w:val="008608E1"/>
    <w:rsid w:val="008611E5"/>
    <w:rsid w:val="008626FB"/>
    <w:rsid w:val="0086398E"/>
    <w:rsid w:val="00863D85"/>
    <w:rsid w:val="008640B6"/>
    <w:rsid w:val="00864DE1"/>
    <w:rsid w:val="00865385"/>
    <w:rsid w:val="0086657D"/>
    <w:rsid w:val="0086709A"/>
    <w:rsid w:val="008673EE"/>
    <w:rsid w:val="00867A8E"/>
    <w:rsid w:val="00867E76"/>
    <w:rsid w:val="00870362"/>
    <w:rsid w:val="00870536"/>
    <w:rsid w:val="00871B70"/>
    <w:rsid w:val="00871D34"/>
    <w:rsid w:val="008725B2"/>
    <w:rsid w:val="00872A27"/>
    <w:rsid w:val="00872A8D"/>
    <w:rsid w:val="00872BD7"/>
    <w:rsid w:val="00873C56"/>
    <w:rsid w:val="00874453"/>
    <w:rsid w:val="00874B8E"/>
    <w:rsid w:val="00874EBA"/>
    <w:rsid w:val="00874F81"/>
    <w:rsid w:val="0087512F"/>
    <w:rsid w:val="00875915"/>
    <w:rsid w:val="00875A7D"/>
    <w:rsid w:val="00877437"/>
    <w:rsid w:val="00877DC5"/>
    <w:rsid w:val="00880679"/>
    <w:rsid w:val="0088202D"/>
    <w:rsid w:val="008824D9"/>
    <w:rsid w:val="00882878"/>
    <w:rsid w:val="008833DB"/>
    <w:rsid w:val="008834A2"/>
    <w:rsid w:val="00884855"/>
    <w:rsid w:val="00886EA0"/>
    <w:rsid w:val="008903EC"/>
    <w:rsid w:val="00890777"/>
    <w:rsid w:val="00890A70"/>
    <w:rsid w:val="00891140"/>
    <w:rsid w:val="0089233C"/>
    <w:rsid w:val="00892D39"/>
    <w:rsid w:val="00895AF2"/>
    <w:rsid w:val="008964DF"/>
    <w:rsid w:val="00896518"/>
    <w:rsid w:val="008972C4"/>
    <w:rsid w:val="008979BE"/>
    <w:rsid w:val="00897C10"/>
    <w:rsid w:val="00897CB4"/>
    <w:rsid w:val="00897D9F"/>
    <w:rsid w:val="00897EFA"/>
    <w:rsid w:val="008A08E9"/>
    <w:rsid w:val="008A10AC"/>
    <w:rsid w:val="008A1453"/>
    <w:rsid w:val="008A1932"/>
    <w:rsid w:val="008A2367"/>
    <w:rsid w:val="008A2F4C"/>
    <w:rsid w:val="008A374A"/>
    <w:rsid w:val="008A4040"/>
    <w:rsid w:val="008A60D3"/>
    <w:rsid w:val="008A6D8E"/>
    <w:rsid w:val="008A735A"/>
    <w:rsid w:val="008B150F"/>
    <w:rsid w:val="008B3ADC"/>
    <w:rsid w:val="008B4277"/>
    <w:rsid w:val="008B51C2"/>
    <w:rsid w:val="008B56D3"/>
    <w:rsid w:val="008B5D95"/>
    <w:rsid w:val="008B60CF"/>
    <w:rsid w:val="008B62AC"/>
    <w:rsid w:val="008B66E3"/>
    <w:rsid w:val="008B6CA3"/>
    <w:rsid w:val="008B70A0"/>
    <w:rsid w:val="008B74DB"/>
    <w:rsid w:val="008B7D18"/>
    <w:rsid w:val="008C16F4"/>
    <w:rsid w:val="008C22E2"/>
    <w:rsid w:val="008C41A3"/>
    <w:rsid w:val="008C56C3"/>
    <w:rsid w:val="008C61C0"/>
    <w:rsid w:val="008C6400"/>
    <w:rsid w:val="008C6FA0"/>
    <w:rsid w:val="008C7373"/>
    <w:rsid w:val="008D076F"/>
    <w:rsid w:val="008D0FBE"/>
    <w:rsid w:val="008D1032"/>
    <w:rsid w:val="008D124E"/>
    <w:rsid w:val="008D14CA"/>
    <w:rsid w:val="008D3A5F"/>
    <w:rsid w:val="008D4171"/>
    <w:rsid w:val="008D4C34"/>
    <w:rsid w:val="008D4D1A"/>
    <w:rsid w:val="008D5769"/>
    <w:rsid w:val="008D5E20"/>
    <w:rsid w:val="008E11FA"/>
    <w:rsid w:val="008E11FC"/>
    <w:rsid w:val="008E174A"/>
    <w:rsid w:val="008E19AA"/>
    <w:rsid w:val="008E20A7"/>
    <w:rsid w:val="008E214B"/>
    <w:rsid w:val="008E2288"/>
    <w:rsid w:val="008E2E6E"/>
    <w:rsid w:val="008E3136"/>
    <w:rsid w:val="008E39D8"/>
    <w:rsid w:val="008E4442"/>
    <w:rsid w:val="008E4557"/>
    <w:rsid w:val="008E4F50"/>
    <w:rsid w:val="008E5BA2"/>
    <w:rsid w:val="008E7227"/>
    <w:rsid w:val="008E7600"/>
    <w:rsid w:val="008F021D"/>
    <w:rsid w:val="008F0DFB"/>
    <w:rsid w:val="008F12F8"/>
    <w:rsid w:val="008F1313"/>
    <w:rsid w:val="008F1C12"/>
    <w:rsid w:val="008F230D"/>
    <w:rsid w:val="008F4278"/>
    <w:rsid w:val="008F431D"/>
    <w:rsid w:val="008F435E"/>
    <w:rsid w:val="008F51E5"/>
    <w:rsid w:val="008F55E4"/>
    <w:rsid w:val="008F568A"/>
    <w:rsid w:val="008F5F81"/>
    <w:rsid w:val="008F7BA9"/>
    <w:rsid w:val="008F7E16"/>
    <w:rsid w:val="008F7E8B"/>
    <w:rsid w:val="0090003E"/>
    <w:rsid w:val="00900555"/>
    <w:rsid w:val="0090256C"/>
    <w:rsid w:val="009026D8"/>
    <w:rsid w:val="00902CDA"/>
    <w:rsid w:val="00903069"/>
    <w:rsid w:val="00903184"/>
    <w:rsid w:val="0090337F"/>
    <w:rsid w:val="00904D34"/>
    <w:rsid w:val="009050C1"/>
    <w:rsid w:val="009056AB"/>
    <w:rsid w:val="00906044"/>
    <w:rsid w:val="009067E8"/>
    <w:rsid w:val="00906F1C"/>
    <w:rsid w:val="00907448"/>
    <w:rsid w:val="009076E7"/>
    <w:rsid w:val="00907A1B"/>
    <w:rsid w:val="00907D9E"/>
    <w:rsid w:val="00907DCA"/>
    <w:rsid w:val="00907FE9"/>
    <w:rsid w:val="00910334"/>
    <w:rsid w:val="00910597"/>
    <w:rsid w:val="0091097C"/>
    <w:rsid w:val="009110D5"/>
    <w:rsid w:val="00911D3C"/>
    <w:rsid w:val="00912050"/>
    <w:rsid w:val="00912756"/>
    <w:rsid w:val="0091296F"/>
    <w:rsid w:val="0091324C"/>
    <w:rsid w:val="0091463A"/>
    <w:rsid w:val="0091479D"/>
    <w:rsid w:val="00914A5A"/>
    <w:rsid w:val="0091541D"/>
    <w:rsid w:val="009156A4"/>
    <w:rsid w:val="00915B24"/>
    <w:rsid w:val="0091605E"/>
    <w:rsid w:val="009166FC"/>
    <w:rsid w:val="00916DF4"/>
    <w:rsid w:val="0091768C"/>
    <w:rsid w:val="009208F6"/>
    <w:rsid w:val="00921B65"/>
    <w:rsid w:val="0092252F"/>
    <w:rsid w:val="009225C0"/>
    <w:rsid w:val="00922621"/>
    <w:rsid w:val="0092355E"/>
    <w:rsid w:val="00923606"/>
    <w:rsid w:val="00923DD2"/>
    <w:rsid w:val="009244EB"/>
    <w:rsid w:val="00924D01"/>
    <w:rsid w:val="009263D3"/>
    <w:rsid w:val="0092680C"/>
    <w:rsid w:val="00926EE6"/>
    <w:rsid w:val="00927622"/>
    <w:rsid w:val="00927EAE"/>
    <w:rsid w:val="00927F92"/>
    <w:rsid w:val="00932B49"/>
    <w:rsid w:val="00933D39"/>
    <w:rsid w:val="00935989"/>
    <w:rsid w:val="00936227"/>
    <w:rsid w:val="00936C73"/>
    <w:rsid w:val="00940B33"/>
    <w:rsid w:val="00940E35"/>
    <w:rsid w:val="00941BAD"/>
    <w:rsid w:val="009433AE"/>
    <w:rsid w:val="009436AF"/>
    <w:rsid w:val="00943F3A"/>
    <w:rsid w:val="009441E0"/>
    <w:rsid w:val="00944BA3"/>
    <w:rsid w:val="00947AD1"/>
    <w:rsid w:val="00950F63"/>
    <w:rsid w:val="009514A2"/>
    <w:rsid w:val="009515A1"/>
    <w:rsid w:val="0095242E"/>
    <w:rsid w:val="00952C00"/>
    <w:rsid w:val="00953BBE"/>
    <w:rsid w:val="0095403C"/>
    <w:rsid w:val="00955BE6"/>
    <w:rsid w:val="009560D8"/>
    <w:rsid w:val="009560FE"/>
    <w:rsid w:val="00956515"/>
    <w:rsid w:val="0095765B"/>
    <w:rsid w:val="00957783"/>
    <w:rsid w:val="009611C8"/>
    <w:rsid w:val="00961911"/>
    <w:rsid w:val="00961DBC"/>
    <w:rsid w:val="009622A3"/>
    <w:rsid w:val="00963A91"/>
    <w:rsid w:val="00964165"/>
    <w:rsid w:val="0096579C"/>
    <w:rsid w:val="009657A5"/>
    <w:rsid w:val="00966FD9"/>
    <w:rsid w:val="00967889"/>
    <w:rsid w:val="00967E09"/>
    <w:rsid w:val="00970FE9"/>
    <w:rsid w:val="0097188A"/>
    <w:rsid w:val="00971F89"/>
    <w:rsid w:val="0097277C"/>
    <w:rsid w:val="009734AB"/>
    <w:rsid w:val="00973983"/>
    <w:rsid w:val="00973FEA"/>
    <w:rsid w:val="0097522E"/>
    <w:rsid w:val="00975581"/>
    <w:rsid w:val="009756E4"/>
    <w:rsid w:val="009769D8"/>
    <w:rsid w:val="00977013"/>
    <w:rsid w:val="00977014"/>
    <w:rsid w:val="00977176"/>
    <w:rsid w:val="00977A29"/>
    <w:rsid w:val="0098114E"/>
    <w:rsid w:val="009811C2"/>
    <w:rsid w:val="009816D6"/>
    <w:rsid w:val="009817B1"/>
    <w:rsid w:val="009825ED"/>
    <w:rsid w:val="009825F1"/>
    <w:rsid w:val="00982D15"/>
    <w:rsid w:val="009833DA"/>
    <w:rsid w:val="00983AEC"/>
    <w:rsid w:val="00983C7F"/>
    <w:rsid w:val="009844AA"/>
    <w:rsid w:val="009850AA"/>
    <w:rsid w:val="00985633"/>
    <w:rsid w:val="009863B9"/>
    <w:rsid w:val="00986538"/>
    <w:rsid w:val="00987750"/>
    <w:rsid w:val="0099084C"/>
    <w:rsid w:val="00990E7F"/>
    <w:rsid w:val="00991603"/>
    <w:rsid w:val="009916CB"/>
    <w:rsid w:val="00991A92"/>
    <w:rsid w:val="00992459"/>
    <w:rsid w:val="00992581"/>
    <w:rsid w:val="00992610"/>
    <w:rsid w:val="009937D3"/>
    <w:rsid w:val="00993CC3"/>
    <w:rsid w:val="009950F4"/>
    <w:rsid w:val="00995531"/>
    <w:rsid w:val="009955EE"/>
    <w:rsid w:val="00995CE9"/>
    <w:rsid w:val="00995D3B"/>
    <w:rsid w:val="00995D41"/>
    <w:rsid w:val="0099651E"/>
    <w:rsid w:val="009966A5"/>
    <w:rsid w:val="00996771"/>
    <w:rsid w:val="00997502"/>
    <w:rsid w:val="009978C2"/>
    <w:rsid w:val="00997A72"/>
    <w:rsid w:val="009A0690"/>
    <w:rsid w:val="009A0A78"/>
    <w:rsid w:val="009A1F31"/>
    <w:rsid w:val="009A1FEB"/>
    <w:rsid w:val="009A2ADF"/>
    <w:rsid w:val="009A3438"/>
    <w:rsid w:val="009A3965"/>
    <w:rsid w:val="009A3D24"/>
    <w:rsid w:val="009A4743"/>
    <w:rsid w:val="009A4A52"/>
    <w:rsid w:val="009A4CFC"/>
    <w:rsid w:val="009A4EC9"/>
    <w:rsid w:val="009A5422"/>
    <w:rsid w:val="009A568F"/>
    <w:rsid w:val="009A5B47"/>
    <w:rsid w:val="009A5C98"/>
    <w:rsid w:val="009A7259"/>
    <w:rsid w:val="009A7966"/>
    <w:rsid w:val="009A7BCD"/>
    <w:rsid w:val="009A7C50"/>
    <w:rsid w:val="009A7EEE"/>
    <w:rsid w:val="009A7F3F"/>
    <w:rsid w:val="009B080A"/>
    <w:rsid w:val="009B0813"/>
    <w:rsid w:val="009B25F8"/>
    <w:rsid w:val="009B47CF"/>
    <w:rsid w:val="009B4879"/>
    <w:rsid w:val="009B57EB"/>
    <w:rsid w:val="009B58A8"/>
    <w:rsid w:val="009B5F73"/>
    <w:rsid w:val="009B5FCF"/>
    <w:rsid w:val="009B6385"/>
    <w:rsid w:val="009B6482"/>
    <w:rsid w:val="009B65BA"/>
    <w:rsid w:val="009B67F9"/>
    <w:rsid w:val="009B681A"/>
    <w:rsid w:val="009B6A3A"/>
    <w:rsid w:val="009B6C3F"/>
    <w:rsid w:val="009B7AAF"/>
    <w:rsid w:val="009C018B"/>
    <w:rsid w:val="009C179D"/>
    <w:rsid w:val="009C1E1B"/>
    <w:rsid w:val="009C36B4"/>
    <w:rsid w:val="009C39C1"/>
    <w:rsid w:val="009C3F4A"/>
    <w:rsid w:val="009C7C43"/>
    <w:rsid w:val="009D069C"/>
    <w:rsid w:val="009D227D"/>
    <w:rsid w:val="009D2C1B"/>
    <w:rsid w:val="009D3267"/>
    <w:rsid w:val="009D363F"/>
    <w:rsid w:val="009D5D45"/>
    <w:rsid w:val="009D5F73"/>
    <w:rsid w:val="009D6D3E"/>
    <w:rsid w:val="009D71A9"/>
    <w:rsid w:val="009D7CF2"/>
    <w:rsid w:val="009E0435"/>
    <w:rsid w:val="009E05B9"/>
    <w:rsid w:val="009E06A7"/>
    <w:rsid w:val="009E07FA"/>
    <w:rsid w:val="009E093F"/>
    <w:rsid w:val="009E0D04"/>
    <w:rsid w:val="009E1A23"/>
    <w:rsid w:val="009E1A94"/>
    <w:rsid w:val="009E3118"/>
    <w:rsid w:val="009E4198"/>
    <w:rsid w:val="009E4255"/>
    <w:rsid w:val="009E5F7B"/>
    <w:rsid w:val="009E687D"/>
    <w:rsid w:val="009E6C26"/>
    <w:rsid w:val="009E74D8"/>
    <w:rsid w:val="009E7660"/>
    <w:rsid w:val="009E7A5F"/>
    <w:rsid w:val="009E7ABF"/>
    <w:rsid w:val="009E7D0E"/>
    <w:rsid w:val="009F0044"/>
    <w:rsid w:val="009F046C"/>
    <w:rsid w:val="009F04E2"/>
    <w:rsid w:val="009F05A6"/>
    <w:rsid w:val="009F133D"/>
    <w:rsid w:val="009F1709"/>
    <w:rsid w:val="009F3C46"/>
    <w:rsid w:val="009F3D9C"/>
    <w:rsid w:val="009F48D5"/>
    <w:rsid w:val="009F551E"/>
    <w:rsid w:val="009F578D"/>
    <w:rsid w:val="009F5ACD"/>
    <w:rsid w:val="009F6755"/>
    <w:rsid w:val="009F69BB"/>
    <w:rsid w:val="009F71E8"/>
    <w:rsid w:val="009F7838"/>
    <w:rsid w:val="009F7E35"/>
    <w:rsid w:val="00A0224A"/>
    <w:rsid w:val="00A02C67"/>
    <w:rsid w:val="00A02E64"/>
    <w:rsid w:val="00A0339C"/>
    <w:rsid w:val="00A03A9F"/>
    <w:rsid w:val="00A03C25"/>
    <w:rsid w:val="00A03FC2"/>
    <w:rsid w:val="00A050F0"/>
    <w:rsid w:val="00A05311"/>
    <w:rsid w:val="00A05D93"/>
    <w:rsid w:val="00A06639"/>
    <w:rsid w:val="00A068A4"/>
    <w:rsid w:val="00A069EC"/>
    <w:rsid w:val="00A1007F"/>
    <w:rsid w:val="00A11159"/>
    <w:rsid w:val="00A11BD0"/>
    <w:rsid w:val="00A129F1"/>
    <w:rsid w:val="00A14044"/>
    <w:rsid w:val="00A14457"/>
    <w:rsid w:val="00A15101"/>
    <w:rsid w:val="00A152A8"/>
    <w:rsid w:val="00A15531"/>
    <w:rsid w:val="00A1574A"/>
    <w:rsid w:val="00A1656E"/>
    <w:rsid w:val="00A16760"/>
    <w:rsid w:val="00A1723A"/>
    <w:rsid w:val="00A201AC"/>
    <w:rsid w:val="00A206FF"/>
    <w:rsid w:val="00A21186"/>
    <w:rsid w:val="00A21207"/>
    <w:rsid w:val="00A21D9B"/>
    <w:rsid w:val="00A22200"/>
    <w:rsid w:val="00A223E8"/>
    <w:rsid w:val="00A223EE"/>
    <w:rsid w:val="00A225E7"/>
    <w:rsid w:val="00A22B00"/>
    <w:rsid w:val="00A22E53"/>
    <w:rsid w:val="00A231BF"/>
    <w:rsid w:val="00A248D7"/>
    <w:rsid w:val="00A24DFD"/>
    <w:rsid w:val="00A258AF"/>
    <w:rsid w:val="00A264CB"/>
    <w:rsid w:val="00A26AF8"/>
    <w:rsid w:val="00A2702E"/>
    <w:rsid w:val="00A27394"/>
    <w:rsid w:val="00A301DC"/>
    <w:rsid w:val="00A301F2"/>
    <w:rsid w:val="00A31821"/>
    <w:rsid w:val="00A3347A"/>
    <w:rsid w:val="00A34124"/>
    <w:rsid w:val="00A359E2"/>
    <w:rsid w:val="00A36183"/>
    <w:rsid w:val="00A362AE"/>
    <w:rsid w:val="00A368F0"/>
    <w:rsid w:val="00A36C15"/>
    <w:rsid w:val="00A371DD"/>
    <w:rsid w:val="00A377D1"/>
    <w:rsid w:val="00A37D00"/>
    <w:rsid w:val="00A4051C"/>
    <w:rsid w:val="00A408D6"/>
    <w:rsid w:val="00A40C07"/>
    <w:rsid w:val="00A4139E"/>
    <w:rsid w:val="00A4159D"/>
    <w:rsid w:val="00A41661"/>
    <w:rsid w:val="00A41993"/>
    <w:rsid w:val="00A420C1"/>
    <w:rsid w:val="00A42434"/>
    <w:rsid w:val="00A44B11"/>
    <w:rsid w:val="00A44E2B"/>
    <w:rsid w:val="00A450AD"/>
    <w:rsid w:val="00A4542F"/>
    <w:rsid w:val="00A454CD"/>
    <w:rsid w:val="00A4572B"/>
    <w:rsid w:val="00A45BE5"/>
    <w:rsid w:val="00A46BB3"/>
    <w:rsid w:val="00A46C37"/>
    <w:rsid w:val="00A50D9E"/>
    <w:rsid w:val="00A50DE4"/>
    <w:rsid w:val="00A51DE8"/>
    <w:rsid w:val="00A51ED0"/>
    <w:rsid w:val="00A52CB0"/>
    <w:rsid w:val="00A5455F"/>
    <w:rsid w:val="00A550D7"/>
    <w:rsid w:val="00A55BC6"/>
    <w:rsid w:val="00A55BEE"/>
    <w:rsid w:val="00A55F9C"/>
    <w:rsid w:val="00A55FA7"/>
    <w:rsid w:val="00A57E8C"/>
    <w:rsid w:val="00A611DE"/>
    <w:rsid w:val="00A61C96"/>
    <w:rsid w:val="00A61F15"/>
    <w:rsid w:val="00A62813"/>
    <w:rsid w:val="00A62E1A"/>
    <w:rsid w:val="00A62E97"/>
    <w:rsid w:val="00A63C44"/>
    <w:rsid w:val="00A63DBB"/>
    <w:rsid w:val="00A64ADD"/>
    <w:rsid w:val="00A653EC"/>
    <w:rsid w:val="00A671C8"/>
    <w:rsid w:val="00A67671"/>
    <w:rsid w:val="00A67D03"/>
    <w:rsid w:val="00A67D96"/>
    <w:rsid w:val="00A7002E"/>
    <w:rsid w:val="00A7089E"/>
    <w:rsid w:val="00A70EEF"/>
    <w:rsid w:val="00A721DF"/>
    <w:rsid w:val="00A73636"/>
    <w:rsid w:val="00A74A7D"/>
    <w:rsid w:val="00A74ADF"/>
    <w:rsid w:val="00A74ED0"/>
    <w:rsid w:val="00A7639A"/>
    <w:rsid w:val="00A7666E"/>
    <w:rsid w:val="00A76712"/>
    <w:rsid w:val="00A77420"/>
    <w:rsid w:val="00A77938"/>
    <w:rsid w:val="00A80E11"/>
    <w:rsid w:val="00A81DCD"/>
    <w:rsid w:val="00A8207B"/>
    <w:rsid w:val="00A8273C"/>
    <w:rsid w:val="00A828FA"/>
    <w:rsid w:val="00A838C9"/>
    <w:rsid w:val="00A8437F"/>
    <w:rsid w:val="00A84C6E"/>
    <w:rsid w:val="00A851C4"/>
    <w:rsid w:val="00A857D7"/>
    <w:rsid w:val="00A85D61"/>
    <w:rsid w:val="00A87505"/>
    <w:rsid w:val="00A9013A"/>
    <w:rsid w:val="00A90573"/>
    <w:rsid w:val="00A9068E"/>
    <w:rsid w:val="00A90796"/>
    <w:rsid w:val="00A909CC"/>
    <w:rsid w:val="00A90EBA"/>
    <w:rsid w:val="00A91BA0"/>
    <w:rsid w:val="00A92814"/>
    <w:rsid w:val="00A92B1F"/>
    <w:rsid w:val="00A92B76"/>
    <w:rsid w:val="00A9514E"/>
    <w:rsid w:val="00A9515C"/>
    <w:rsid w:val="00A959AC"/>
    <w:rsid w:val="00A95AE7"/>
    <w:rsid w:val="00A95B73"/>
    <w:rsid w:val="00A95E62"/>
    <w:rsid w:val="00A96B9B"/>
    <w:rsid w:val="00A97E2D"/>
    <w:rsid w:val="00A97EC0"/>
    <w:rsid w:val="00A97FD3"/>
    <w:rsid w:val="00AA095D"/>
    <w:rsid w:val="00AA0A13"/>
    <w:rsid w:val="00AA16C7"/>
    <w:rsid w:val="00AA299F"/>
    <w:rsid w:val="00AA2C85"/>
    <w:rsid w:val="00AA2E7A"/>
    <w:rsid w:val="00AA3492"/>
    <w:rsid w:val="00AA3B70"/>
    <w:rsid w:val="00AA4501"/>
    <w:rsid w:val="00AA4DD7"/>
    <w:rsid w:val="00AA541E"/>
    <w:rsid w:val="00AA63AD"/>
    <w:rsid w:val="00AA69D9"/>
    <w:rsid w:val="00AA7769"/>
    <w:rsid w:val="00AB0039"/>
    <w:rsid w:val="00AB08E9"/>
    <w:rsid w:val="00AB1BB3"/>
    <w:rsid w:val="00AB1D5E"/>
    <w:rsid w:val="00AB33D3"/>
    <w:rsid w:val="00AB5631"/>
    <w:rsid w:val="00AB5F02"/>
    <w:rsid w:val="00AB5F77"/>
    <w:rsid w:val="00AB66AA"/>
    <w:rsid w:val="00AB71D1"/>
    <w:rsid w:val="00AB7273"/>
    <w:rsid w:val="00AB74EA"/>
    <w:rsid w:val="00AB7639"/>
    <w:rsid w:val="00AB7D8E"/>
    <w:rsid w:val="00AC0F2D"/>
    <w:rsid w:val="00AC1452"/>
    <w:rsid w:val="00AC46D5"/>
    <w:rsid w:val="00AC4754"/>
    <w:rsid w:val="00AC4FD3"/>
    <w:rsid w:val="00AC5E1B"/>
    <w:rsid w:val="00AC61EA"/>
    <w:rsid w:val="00AC645F"/>
    <w:rsid w:val="00AC692D"/>
    <w:rsid w:val="00AC6CF6"/>
    <w:rsid w:val="00AC7B3E"/>
    <w:rsid w:val="00AC7FE7"/>
    <w:rsid w:val="00AD04C5"/>
    <w:rsid w:val="00AD109E"/>
    <w:rsid w:val="00AD20F7"/>
    <w:rsid w:val="00AD304C"/>
    <w:rsid w:val="00AD4319"/>
    <w:rsid w:val="00AD44E8"/>
    <w:rsid w:val="00AD476E"/>
    <w:rsid w:val="00AD4D9E"/>
    <w:rsid w:val="00AD4F7E"/>
    <w:rsid w:val="00AD57D6"/>
    <w:rsid w:val="00AD62FA"/>
    <w:rsid w:val="00AD660B"/>
    <w:rsid w:val="00AD6DC2"/>
    <w:rsid w:val="00AD6FAD"/>
    <w:rsid w:val="00AD6FF6"/>
    <w:rsid w:val="00AE0019"/>
    <w:rsid w:val="00AE0D61"/>
    <w:rsid w:val="00AE1180"/>
    <w:rsid w:val="00AE17A4"/>
    <w:rsid w:val="00AE1A80"/>
    <w:rsid w:val="00AE1C82"/>
    <w:rsid w:val="00AE1F09"/>
    <w:rsid w:val="00AE255F"/>
    <w:rsid w:val="00AE265A"/>
    <w:rsid w:val="00AE2864"/>
    <w:rsid w:val="00AE2C2B"/>
    <w:rsid w:val="00AE2EEF"/>
    <w:rsid w:val="00AE350F"/>
    <w:rsid w:val="00AE3C11"/>
    <w:rsid w:val="00AE43E7"/>
    <w:rsid w:val="00AE4D86"/>
    <w:rsid w:val="00AE4F76"/>
    <w:rsid w:val="00AE70CD"/>
    <w:rsid w:val="00AE7369"/>
    <w:rsid w:val="00AE790D"/>
    <w:rsid w:val="00AE7E28"/>
    <w:rsid w:val="00AE7EF3"/>
    <w:rsid w:val="00AF017B"/>
    <w:rsid w:val="00AF0F20"/>
    <w:rsid w:val="00AF11E8"/>
    <w:rsid w:val="00AF14F2"/>
    <w:rsid w:val="00AF3010"/>
    <w:rsid w:val="00AF40FA"/>
    <w:rsid w:val="00AF4DBA"/>
    <w:rsid w:val="00AF4DE8"/>
    <w:rsid w:val="00AF513B"/>
    <w:rsid w:val="00AF51DC"/>
    <w:rsid w:val="00AF5B1F"/>
    <w:rsid w:val="00AF6094"/>
    <w:rsid w:val="00AF60C4"/>
    <w:rsid w:val="00AF6A62"/>
    <w:rsid w:val="00AF6E4E"/>
    <w:rsid w:val="00AF7164"/>
    <w:rsid w:val="00AF76CF"/>
    <w:rsid w:val="00AF7E49"/>
    <w:rsid w:val="00B0013F"/>
    <w:rsid w:val="00B002B3"/>
    <w:rsid w:val="00B00787"/>
    <w:rsid w:val="00B01E73"/>
    <w:rsid w:val="00B031A0"/>
    <w:rsid w:val="00B03309"/>
    <w:rsid w:val="00B03CC4"/>
    <w:rsid w:val="00B03DA0"/>
    <w:rsid w:val="00B042DE"/>
    <w:rsid w:val="00B04C75"/>
    <w:rsid w:val="00B04D51"/>
    <w:rsid w:val="00B055A8"/>
    <w:rsid w:val="00B05CDF"/>
    <w:rsid w:val="00B0604B"/>
    <w:rsid w:val="00B064F4"/>
    <w:rsid w:val="00B0673C"/>
    <w:rsid w:val="00B070F2"/>
    <w:rsid w:val="00B0765F"/>
    <w:rsid w:val="00B07A6C"/>
    <w:rsid w:val="00B10D79"/>
    <w:rsid w:val="00B11118"/>
    <w:rsid w:val="00B1138E"/>
    <w:rsid w:val="00B121DA"/>
    <w:rsid w:val="00B13B0B"/>
    <w:rsid w:val="00B14113"/>
    <w:rsid w:val="00B14853"/>
    <w:rsid w:val="00B14E8E"/>
    <w:rsid w:val="00B153F6"/>
    <w:rsid w:val="00B15414"/>
    <w:rsid w:val="00B15421"/>
    <w:rsid w:val="00B162BC"/>
    <w:rsid w:val="00B1632D"/>
    <w:rsid w:val="00B209D3"/>
    <w:rsid w:val="00B215E6"/>
    <w:rsid w:val="00B21FDF"/>
    <w:rsid w:val="00B22A62"/>
    <w:rsid w:val="00B23067"/>
    <w:rsid w:val="00B2402B"/>
    <w:rsid w:val="00B24D95"/>
    <w:rsid w:val="00B27311"/>
    <w:rsid w:val="00B27CE5"/>
    <w:rsid w:val="00B325E9"/>
    <w:rsid w:val="00B335AF"/>
    <w:rsid w:val="00B337B6"/>
    <w:rsid w:val="00B34FE6"/>
    <w:rsid w:val="00B352BB"/>
    <w:rsid w:val="00B36707"/>
    <w:rsid w:val="00B375DF"/>
    <w:rsid w:val="00B402B4"/>
    <w:rsid w:val="00B41169"/>
    <w:rsid w:val="00B4164B"/>
    <w:rsid w:val="00B417AC"/>
    <w:rsid w:val="00B41A58"/>
    <w:rsid w:val="00B43214"/>
    <w:rsid w:val="00B4380F"/>
    <w:rsid w:val="00B43CBF"/>
    <w:rsid w:val="00B440FA"/>
    <w:rsid w:val="00B4448F"/>
    <w:rsid w:val="00B44F3D"/>
    <w:rsid w:val="00B45BD5"/>
    <w:rsid w:val="00B45F13"/>
    <w:rsid w:val="00B465BB"/>
    <w:rsid w:val="00B50C84"/>
    <w:rsid w:val="00B50FC6"/>
    <w:rsid w:val="00B5107D"/>
    <w:rsid w:val="00B512A6"/>
    <w:rsid w:val="00B52257"/>
    <w:rsid w:val="00B52269"/>
    <w:rsid w:val="00B5247B"/>
    <w:rsid w:val="00B52D16"/>
    <w:rsid w:val="00B54795"/>
    <w:rsid w:val="00B54E1B"/>
    <w:rsid w:val="00B55CB8"/>
    <w:rsid w:val="00B56207"/>
    <w:rsid w:val="00B566BD"/>
    <w:rsid w:val="00B56BFC"/>
    <w:rsid w:val="00B57F18"/>
    <w:rsid w:val="00B60A62"/>
    <w:rsid w:val="00B6162B"/>
    <w:rsid w:val="00B62E95"/>
    <w:rsid w:val="00B63F33"/>
    <w:rsid w:val="00B6409F"/>
    <w:rsid w:val="00B64916"/>
    <w:rsid w:val="00B66356"/>
    <w:rsid w:val="00B6666A"/>
    <w:rsid w:val="00B66DEC"/>
    <w:rsid w:val="00B67045"/>
    <w:rsid w:val="00B67CED"/>
    <w:rsid w:val="00B67D5D"/>
    <w:rsid w:val="00B718EF"/>
    <w:rsid w:val="00B71E64"/>
    <w:rsid w:val="00B71F1F"/>
    <w:rsid w:val="00B72395"/>
    <w:rsid w:val="00B72842"/>
    <w:rsid w:val="00B72848"/>
    <w:rsid w:val="00B7345A"/>
    <w:rsid w:val="00B738CC"/>
    <w:rsid w:val="00B73CD0"/>
    <w:rsid w:val="00B73DCF"/>
    <w:rsid w:val="00B741C8"/>
    <w:rsid w:val="00B7432C"/>
    <w:rsid w:val="00B743CC"/>
    <w:rsid w:val="00B746E3"/>
    <w:rsid w:val="00B75E61"/>
    <w:rsid w:val="00B75F97"/>
    <w:rsid w:val="00B77C17"/>
    <w:rsid w:val="00B80BE3"/>
    <w:rsid w:val="00B81096"/>
    <w:rsid w:val="00B816DC"/>
    <w:rsid w:val="00B820AB"/>
    <w:rsid w:val="00B82722"/>
    <w:rsid w:val="00B82BF0"/>
    <w:rsid w:val="00B82E2B"/>
    <w:rsid w:val="00B84305"/>
    <w:rsid w:val="00B845A7"/>
    <w:rsid w:val="00B845F6"/>
    <w:rsid w:val="00B85653"/>
    <w:rsid w:val="00B87B19"/>
    <w:rsid w:val="00B87F2B"/>
    <w:rsid w:val="00B9189A"/>
    <w:rsid w:val="00B91EBD"/>
    <w:rsid w:val="00B9310B"/>
    <w:rsid w:val="00B93239"/>
    <w:rsid w:val="00B93D2E"/>
    <w:rsid w:val="00B9419F"/>
    <w:rsid w:val="00B945C5"/>
    <w:rsid w:val="00B951AB"/>
    <w:rsid w:val="00B95A57"/>
    <w:rsid w:val="00B95EB2"/>
    <w:rsid w:val="00BA0C97"/>
    <w:rsid w:val="00BA0CE4"/>
    <w:rsid w:val="00BA1817"/>
    <w:rsid w:val="00BA1AF2"/>
    <w:rsid w:val="00BA1B10"/>
    <w:rsid w:val="00BA1B19"/>
    <w:rsid w:val="00BA1C77"/>
    <w:rsid w:val="00BA1D04"/>
    <w:rsid w:val="00BA2683"/>
    <w:rsid w:val="00BA27CB"/>
    <w:rsid w:val="00BA27FB"/>
    <w:rsid w:val="00BA2F82"/>
    <w:rsid w:val="00BA33F1"/>
    <w:rsid w:val="00BA37F6"/>
    <w:rsid w:val="00BA4439"/>
    <w:rsid w:val="00BA4F92"/>
    <w:rsid w:val="00BA5894"/>
    <w:rsid w:val="00BA5BC2"/>
    <w:rsid w:val="00BA65C3"/>
    <w:rsid w:val="00BA6A58"/>
    <w:rsid w:val="00BA708F"/>
    <w:rsid w:val="00BB094F"/>
    <w:rsid w:val="00BB0E2C"/>
    <w:rsid w:val="00BB16BB"/>
    <w:rsid w:val="00BB16BC"/>
    <w:rsid w:val="00BB21C9"/>
    <w:rsid w:val="00BB33BF"/>
    <w:rsid w:val="00BB3506"/>
    <w:rsid w:val="00BB3B6E"/>
    <w:rsid w:val="00BB54FE"/>
    <w:rsid w:val="00BB5D1B"/>
    <w:rsid w:val="00BB63BA"/>
    <w:rsid w:val="00BB6F00"/>
    <w:rsid w:val="00BB7569"/>
    <w:rsid w:val="00BB7A17"/>
    <w:rsid w:val="00BC06CC"/>
    <w:rsid w:val="00BC144A"/>
    <w:rsid w:val="00BC1A61"/>
    <w:rsid w:val="00BC1E6B"/>
    <w:rsid w:val="00BC1FAA"/>
    <w:rsid w:val="00BC222D"/>
    <w:rsid w:val="00BC3610"/>
    <w:rsid w:val="00BC47D7"/>
    <w:rsid w:val="00BC506F"/>
    <w:rsid w:val="00BC5549"/>
    <w:rsid w:val="00BC6BF3"/>
    <w:rsid w:val="00BC7283"/>
    <w:rsid w:val="00BC7A67"/>
    <w:rsid w:val="00BD0496"/>
    <w:rsid w:val="00BD1943"/>
    <w:rsid w:val="00BD211F"/>
    <w:rsid w:val="00BD32C2"/>
    <w:rsid w:val="00BD375A"/>
    <w:rsid w:val="00BD3E15"/>
    <w:rsid w:val="00BD4C1C"/>
    <w:rsid w:val="00BD52E0"/>
    <w:rsid w:val="00BD5604"/>
    <w:rsid w:val="00BD5994"/>
    <w:rsid w:val="00BD6894"/>
    <w:rsid w:val="00BD6A7A"/>
    <w:rsid w:val="00BD73D8"/>
    <w:rsid w:val="00BD76BB"/>
    <w:rsid w:val="00BE0867"/>
    <w:rsid w:val="00BE1545"/>
    <w:rsid w:val="00BE167A"/>
    <w:rsid w:val="00BE17E1"/>
    <w:rsid w:val="00BE1A2C"/>
    <w:rsid w:val="00BE20F9"/>
    <w:rsid w:val="00BE238D"/>
    <w:rsid w:val="00BE31E5"/>
    <w:rsid w:val="00BE3880"/>
    <w:rsid w:val="00BE3FBF"/>
    <w:rsid w:val="00BE4420"/>
    <w:rsid w:val="00BE484F"/>
    <w:rsid w:val="00BE499B"/>
    <w:rsid w:val="00BE4A36"/>
    <w:rsid w:val="00BE4BC4"/>
    <w:rsid w:val="00BE6205"/>
    <w:rsid w:val="00BE6620"/>
    <w:rsid w:val="00BE6871"/>
    <w:rsid w:val="00BE6C68"/>
    <w:rsid w:val="00BE7B1F"/>
    <w:rsid w:val="00BF00D2"/>
    <w:rsid w:val="00BF0460"/>
    <w:rsid w:val="00BF0484"/>
    <w:rsid w:val="00BF077F"/>
    <w:rsid w:val="00BF1D96"/>
    <w:rsid w:val="00BF1FF7"/>
    <w:rsid w:val="00BF2552"/>
    <w:rsid w:val="00BF2820"/>
    <w:rsid w:val="00BF2B23"/>
    <w:rsid w:val="00BF2C90"/>
    <w:rsid w:val="00BF314B"/>
    <w:rsid w:val="00BF32C0"/>
    <w:rsid w:val="00BF342A"/>
    <w:rsid w:val="00BF396F"/>
    <w:rsid w:val="00BF3C3B"/>
    <w:rsid w:val="00BF63FE"/>
    <w:rsid w:val="00BF6409"/>
    <w:rsid w:val="00BF6D1C"/>
    <w:rsid w:val="00BF7D34"/>
    <w:rsid w:val="00C0008B"/>
    <w:rsid w:val="00C00823"/>
    <w:rsid w:val="00C01A5D"/>
    <w:rsid w:val="00C01AF3"/>
    <w:rsid w:val="00C01D92"/>
    <w:rsid w:val="00C02214"/>
    <w:rsid w:val="00C025CE"/>
    <w:rsid w:val="00C02799"/>
    <w:rsid w:val="00C02E81"/>
    <w:rsid w:val="00C031F7"/>
    <w:rsid w:val="00C034F9"/>
    <w:rsid w:val="00C04576"/>
    <w:rsid w:val="00C055B6"/>
    <w:rsid w:val="00C05B74"/>
    <w:rsid w:val="00C05D76"/>
    <w:rsid w:val="00C06756"/>
    <w:rsid w:val="00C076DA"/>
    <w:rsid w:val="00C07904"/>
    <w:rsid w:val="00C07B90"/>
    <w:rsid w:val="00C107DB"/>
    <w:rsid w:val="00C10906"/>
    <w:rsid w:val="00C1153B"/>
    <w:rsid w:val="00C11A94"/>
    <w:rsid w:val="00C137FA"/>
    <w:rsid w:val="00C14BE3"/>
    <w:rsid w:val="00C150B0"/>
    <w:rsid w:val="00C150FE"/>
    <w:rsid w:val="00C1699A"/>
    <w:rsid w:val="00C171F0"/>
    <w:rsid w:val="00C20D20"/>
    <w:rsid w:val="00C20D86"/>
    <w:rsid w:val="00C20EC8"/>
    <w:rsid w:val="00C210C8"/>
    <w:rsid w:val="00C21257"/>
    <w:rsid w:val="00C21497"/>
    <w:rsid w:val="00C220C9"/>
    <w:rsid w:val="00C22140"/>
    <w:rsid w:val="00C2247B"/>
    <w:rsid w:val="00C23901"/>
    <w:rsid w:val="00C25141"/>
    <w:rsid w:val="00C256E3"/>
    <w:rsid w:val="00C260A3"/>
    <w:rsid w:val="00C27987"/>
    <w:rsid w:val="00C3017B"/>
    <w:rsid w:val="00C306F4"/>
    <w:rsid w:val="00C314FB"/>
    <w:rsid w:val="00C32217"/>
    <w:rsid w:val="00C327F7"/>
    <w:rsid w:val="00C329A5"/>
    <w:rsid w:val="00C32B40"/>
    <w:rsid w:val="00C32C82"/>
    <w:rsid w:val="00C32CC0"/>
    <w:rsid w:val="00C346D3"/>
    <w:rsid w:val="00C346E3"/>
    <w:rsid w:val="00C348D9"/>
    <w:rsid w:val="00C353AF"/>
    <w:rsid w:val="00C360E7"/>
    <w:rsid w:val="00C36656"/>
    <w:rsid w:val="00C36964"/>
    <w:rsid w:val="00C36BFE"/>
    <w:rsid w:val="00C3723B"/>
    <w:rsid w:val="00C3752E"/>
    <w:rsid w:val="00C37935"/>
    <w:rsid w:val="00C37B4D"/>
    <w:rsid w:val="00C4063A"/>
    <w:rsid w:val="00C40770"/>
    <w:rsid w:val="00C446C8"/>
    <w:rsid w:val="00C45835"/>
    <w:rsid w:val="00C45B17"/>
    <w:rsid w:val="00C46307"/>
    <w:rsid w:val="00C46EAF"/>
    <w:rsid w:val="00C4775B"/>
    <w:rsid w:val="00C500BE"/>
    <w:rsid w:val="00C502A6"/>
    <w:rsid w:val="00C51726"/>
    <w:rsid w:val="00C51B6C"/>
    <w:rsid w:val="00C51D36"/>
    <w:rsid w:val="00C51F17"/>
    <w:rsid w:val="00C52B88"/>
    <w:rsid w:val="00C52F62"/>
    <w:rsid w:val="00C53AA0"/>
    <w:rsid w:val="00C54ABD"/>
    <w:rsid w:val="00C5510B"/>
    <w:rsid w:val="00C55886"/>
    <w:rsid w:val="00C55EAC"/>
    <w:rsid w:val="00C57208"/>
    <w:rsid w:val="00C575FE"/>
    <w:rsid w:val="00C5776F"/>
    <w:rsid w:val="00C61D19"/>
    <w:rsid w:val="00C61D21"/>
    <w:rsid w:val="00C621A1"/>
    <w:rsid w:val="00C622A6"/>
    <w:rsid w:val="00C628DC"/>
    <w:rsid w:val="00C63E97"/>
    <w:rsid w:val="00C644F8"/>
    <w:rsid w:val="00C64811"/>
    <w:rsid w:val="00C660CE"/>
    <w:rsid w:val="00C6706C"/>
    <w:rsid w:val="00C705EB"/>
    <w:rsid w:val="00C70A64"/>
    <w:rsid w:val="00C71035"/>
    <w:rsid w:val="00C7161E"/>
    <w:rsid w:val="00C71824"/>
    <w:rsid w:val="00C71B0F"/>
    <w:rsid w:val="00C71C44"/>
    <w:rsid w:val="00C7232D"/>
    <w:rsid w:val="00C73807"/>
    <w:rsid w:val="00C741C0"/>
    <w:rsid w:val="00C74699"/>
    <w:rsid w:val="00C762AC"/>
    <w:rsid w:val="00C7652D"/>
    <w:rsid w:val="00C815B8"/>
    <w:rsid w:val="00C81B7D"/>
    <w:rsid w:val="00C81C3C"/>
    <w:rsid w:val="00C82D4A"/>
    <w:rsid w:val="00C82DB9"/>
    <w:rsid w:val="00C8515C"/>
    <w:rsid w:val="00C854B5"/>
    <w:rsid w:val="00C86711"/>
    <w:rsid w:val="00C86D9E"/>
    <w:rsid w:val="00C87199"/>
    <w:rsid w:val="00C877EE"/>
    <w:rsid w:val="00C904B3"/>
    <w:rsid w:val="00C904E1"/>
    <w:rsid w:val="00C90977"/>
    <w:rsid w:val="00C90A45"/>
    <w:rsid w:val="00C91167"/>
    <w:rsid w:val="00C917FB"/>
    <w:rsid w:val="00C91905"/>
    <w:rsid w:val="00C91E5E"/>
    <w:rsid w:val="00C92398"/>
    <w:rsid w:val="00C9261B"/>
    <w:rsid w:val="00C9318A"/>
    <w:rsid w:val="00C931E8"/>
    <w:rsid w:val="00C936F2"/>
    <w:rsid w:val="00C93A9A"/>
    <w:rsid w:val="00C93BD6"/>
    <w:rsid w:val="00C946A7"/>
    <w:rsid w:val="00C95F8F"/>
    <w:rsid w:val="00C960DA"/>
    <w:rsid w:val="00C9652F"/>
    <w:rsid w:val="00C96761"/>
    <w:rsid w:val="00CA0D0E"/>
    <w:rsid w:val="00CA169A"/>
    <w:rsid w:val="00CA1948"/>
    <w:rsid w:val="00CA1963"/>
    <w:rsid w:val="00CA2863"/>
    <w:rsid w:val="00CA2E1F"/>
    <w:rsid w:val="00CA3078"/>
    <w:rsid w:val="00CA4667"/>
    <w:rsid w:val="00CA55BB"/>
    <w:rsid w:val="00CA5AE2"/>
    <w:rsid w:val="00CA5ECA"/>
    <w:rsid w:val="00CA6831"/>
    <w:rsid w:val="00CA750E"/>
    <w:rsid w:val="00CA7B61"/>
    <w:rsid w:val="00CB018D"/>
    <w:rsid w:val="00CB0200"/>
    <w:rsid w:val="00CB0616"/>
    <w:rsid w:val="00CB0676"/>
    <w:rsid w:val="00CB0901"/>
    <w:rsid w:val="00CB0944"/>
    <w:rsid w:val="00CB1271"/>
    <w:rsid w:val="00CB1EA2"/>
    <w:rsid w:val="00CB1F5A"/>
    <w:rsid w:val="00CB20D0"/>
    <w:rsid w:val="00CB26FA"/>
    <w:rsid w:val="00CB28AD"/>
    <w:rsid w:val="00CB2B06"/>
    <w:rsid w:val="00CB3094"/>
    <w:rsid w:val="00CB3833"/>
    <w:rsid w:val="00CB3E6A"/>
    <w:rsid w:val="00CB40D6"/>
    <w:rsid w:val="00CB410D"/>
    <w:rsid w:val="00CB451C"/>
    <w:rsid w:val="00CB4E5F"/>
    <w:rsid w:val="00CB52FC"/>
    <w:rsid w:val="00CB5337"/>
    <w:rsid w:val="00CB62C3"/>
    <w:rsid w:val="00CB6348"/>
    <w:rsid w:val="00CB7988"/>
    <w:rsid w:val="00CC0C09"/>
    <w:rsid w:val="00CC2418"/>
    <w:rsid w:val="00CC27B2"/>
    <w:rsid w:val="00CC2D8F"/>
    <w:rsid w:val="00CC3524"/>
    <w:rsid w:val="00CC369B"/>
    <w:rsid w:val="00CC418B"/>
    <w:rsid w:val="00CC490D"/>
    <w:rsid w:val="00CC5534"/>
    <w:rsid w:val="00CC5B9D"/>
    <w:rsid w:val="00CC6C0B"/>
    <w:rsid w:val="00CC7A58"/>
    <w:rsid w:val="00CD01D4"/>
    <w:rsid w:val="00CD09E1"/>
    <w:rsid w:val="00CD131F"/>
    <w:rsid w:val="00CD1D34"/>
    <w:rsid w:val="00CD1F3F"/>
    <w:rsid w:val="00CD2467"/>
    <w:rsid w:val="00CD30B3"/>
    <w:rsid w:val="00CD3206"/>
    <w:rsid w:val="00CD45BB"/>
    <w:rsid w:val="00CD4788"/>
    <w:rsid w:val="00CD4B40"/>
    <w:rsid w:val="00CD4DB9"/>
    <w:rsid w:val="00CD51AE"/>
    <w:rsid w:val="00CD57B4"/>
    <w:rsid w:val="00CD5914"/>
    <w:rsid w:val="00CD5934"/>
    <w:rsid w:val="00CD7694"/>
    <w:rsid w:val="00CD7C14"/>
    <w:rsid w:val="00CE0272"/>
    <w:rsid w:val="00CE0293"/>
    <w:rsid w:val="00CE0894"/>
    <w:rsid w:val="00CE2728"/>
    <w:rsid w:val="00CE2D6E"/>
    <w:rsid w:val="00CE31A6"/>
    <w:rsid w:val="00CE38D7"/>
    <w:rsid w:val="00CF03AE"/>
    <w:rsid w:val="00CF087C"/>
    <w:rsid w:val="00CF31BA"/>
    <w:rsid w:val="00CF31F0"/>
    <w:rsid w:val="00CF5619"/>
    <w:rsid w:val="00CF5C89"/>
    <w:rsid w:val="00CF5D15"/>
    <w:rsid w:val="00CF5EB5"/>
    <w:rsid w:val="00CF609F"/>
    <w:rsid w:val="00CF6AAC"/>
    <w:rsid w:val="00CF6C6F"/>
    <w:rsid w:val="00CF73A7"/>
    <w:rsid w:val="00D00AB2"/>
    <w:rsid w:val="00D00B02"/>
    <w:rsid w:val="00D00DA9"/>
    <w:rsid w:val="00D0123A"/>
    <w:rsid w:val="00D013E6"/>
    <w:rsid w:val="00D016D7"/>
    <w:rsid w:val="00D01DA2"/>
    <w:rsid w:val="00D033A4"/>
    <w:rsid w:val="00D03A24"/>
    <w:rsid w:val="00D0595F"/>
    <w:rsid w:val="00D06347"/>
    <w:rsid w:val="00D0664D"/>
    <w:rsid w:val="00D079D1"/>
    <w:rsid w:val="00D07C4B"/>
    <w:rsid w:val="00D07CEF"/>
    <w:rsid w:val="00D11194"/>
    <w:rsid w:val="00D121A2"/>
    <w:rsid w:val="00D14CBC"/>
    <w:rsid w:val="00D1569D"/>
    <w:rsid w:val="00D17525"/>
    <w:rsid w:val="00D200C2"/>
    <w:rsid w:val="00D21997"/>
    <w:rsid w:val="00D21CEC"/>
    <w:rsid w:val="00D229A4"/>
    <w:rsid w:val="00D22DF4"/>
    <w:rsid w:val="00D24CAE"/>
    <w:rsid w:val="00D24FAB"/>
    <w:rsid w:val="00D252EE"/>
    <w:rsid w:val="00D26957"/>
    <w:rsid w:val="00D26C33"/>
    <w:rsid w:val="00D27704"/>
    <w:rsid w:val="00D300E5"/>
    <w:rsid w:val="00D31F98"/>
    <w:rsid w:val="00D320DC"/>
    <w:rsid w:val="00D32B3E"/>
    <w:rsid w:val="00D32B7A"/>
    <w:rsid w:val="00D32C89"/>
    <w:rsid w:val="00D3365E"/>
    <w:rsid w:val="00D33D9B"/>
    <w:rsid w:val="00D347B4"/>
    <w:rsid w:val="00D34F75"/>
    <w:rsid w:val="00D35794"/>
    <w:rsid w:val="00D35EAE"/>
    <w:rsid w:val="00D36040"/>
    <w:rsid w:val="00D37314"/>
    <w:rsid w:val="00D375CE"/>
    <w:rsid w:val="00D403F4"/>
    <w:rsid w:val="00D40C2C"/>
    <w:rsid w:val="00D40EE9"/>
    <w:rsid w:val="00D40EEF"/>
    <w:rsid w:val="00D4132F"/>
    <w:rsid w:val="00D4138A"/>
    <w:rsid w:val="00D423F4"/>
    <w:rsid w:val="00D428A3"/>
    <w:rsid w:val="00D42B98"/>
    <w:rsid w:val="00D42E26"/>
    <w:rsid w:val="00D4342D"/>
    <w:rsid w:val="00D436E0"/>
    <w:rsid w:val="00D43B1F"/>
    <w:rsid w:val="00D44257"/>
    <w:rsid w:val="00D44C3A"/>
    <w:rsid w:val="00D45ABE"/>
    <w:rsid w:val="00D45DEC"/>
    <w:rsid w:val="00D45E03"/>
    <w:rsid w:val="00D45F14"/>
    <w:rsid w:val="00D46112"/>
    <w:rsid w:val="00D46EC7"/>
    <w:rsid w:val="00D4722F"/>
    <w:rsid w:val="00D47E53"/>
    <w:rsid w:val="00D507A9"/>
    <w:rsid w:val="00D50E43"/>
    <w:rsid w:val="00D5115B"/>
    <w:rsid w:val="00D51F5B"/>
    <w:rsid w:val="00D52C32"/>
    <w:rsid w:val="00D539ED"/>
    <w:rsid w:val="00D55794"/>
    <w:rsid w:val="00D57673"/>
    <w:rsid w:val="00D57696"/>
    <w:rsid w:val="00D60F4C"/>
    <w:rsid w:val="00D62093"/>
    <w:rsid w:val="00D622D0"/>
    <w:rsid w:val="00D624C0"/>
    <w:rsid w:val="00D62542"/>
    <w:rsid w:val="00D62D70"/>
    <w:rsid w:val="00D63163"/>
    <w:rsid w:val="00D64543"/>
    <w:rsid w:val="00D646F2"/>
    <w:rsid w:val="00D653FD"/>
    <w:rsid w:val="00D67B9D"/>
    <w:rsid w:val="00D67C18"/>
    <w:rsid w:val="00D71369"/>
    <w:rsid w:val="00D72665"/>
    <w:rsid w:val="00D72EAB"/>
    <w:rsid w:val="00D72F38"/>
    <w:rsid w:val="00D73B14"/>
    <w:rsid w:val="00D749BB"/>
    <w:rsid w:val="00D74B5B"/>
    <w:rsid w:val="00D75E46"/>
    <w:rsid w:val="00D76073"/>
    <w:rsid w:val="00D7705F"/>
    <w:rsid w:val="00D80A3C"/>
    <w:rsid w:val="00D80BD6"/>
    <w:rsid w:val="00D81F8C"/>
    <w:rsid w:val="00D82B19"/>
    <w:rsid w:val="00D83024"/>
    <w:rsid w:val="00D83486"/>
    <w:rsid w:val="00D84F90"/>
    <w:rsid w:val="00D852DA"/>
    <w:rsid w:val="00D865E8"/>
    <w:rsid w:val="00D90E2E"/>
    <w:rsid w:val="00D912B7"/>
    <w:rsid w:val="00D917B4"/>
    <w:rsid w:val="00D91B7B"/>
    <w:rsid w:val="00D91B88"/>
    <w:rsid w:val="00D91E25"/>
    <w:rsid w:val="00D9237D"/>
    <w:rsid w:val="00D927BA"/>
    <w:rsid w:val="00D92856"/>
    <w:rsid w:val="00D934BF"/>
    <w:rsid w:val="00D94146"/>
    <w:rsid w:val="00D942E5"/>
    <w:rsid w:val="00D94E1D"/>
    <w:rsid w:val="00D95362"/>
    <w:rsid w:val="00D95643"/>
    <w:rsid w:val="00D956BB"/>
    <w:rsid w:val="00D95742"/>
    <w:rsid w:val="00D95A3C"/>
    <w:rsid w:val="00D96803"/>
    <w:rsid w:val="00D9762E"/>
    <w:rsid w:val="00D97E4F"/>
    <w:rsid w:val="00DA034F"/>
    <w:rsid w:val="00DA1EBE"/>
    <w:rsid w:val="00DA2131"/>
    <w:rsid w:val="00DA23D3"/>
    <w:rsid w:val="00DA2AC7"/>
    <w:rsid w:val="00DA338B"/>
    <w:rsid w:val="00DA3A02"/>
    <w:rsid w:val="00DA40B8"/>
    <w:rsid w:val="00DA432E"/>
    <w:rsid w:val="00DA4AE3"/>
    <w:rsid w:val="00DA5386"/>
    <w:rsid w:val="00DA54E2"/>
    <w:rsid w:val="00DA5BCC"/>
    <w:rsid w:val="00DA6B2A"/>
    <w:rsid w:val="00DA75D0"/>
    <w:rsid w:val="00DA76A6"/>
    <w:rsid w:val="00DB0507"/>
    <w:rsid w:val="00DB0591"/>
    <w:rsid w:val="00DB0C07"/>
    <w:rsid w:val="00DB0C57"/>
    <w:rsid w:val="00DB1B7A"/>
    <w:rsid w:val="00DB230B"/>
    <w:rsid w:val="00DB2F7B"/>
    <w:rsid w:val="00DB3CCB"/>
    <w:rsid w:val="00DB414C"/>
    <w:rsid w:val="00DB4311"/>
    <w:rsid w:val="00DB4DD5"/>
    <w:rsid w:val="00DB4F80"/>
    <w:rsid w:val="00DB50CB"/>
    <w:rsid w:val="00DB5369"/>
    <w:rsid w:val="00DB59F7"/>
    <w:rsid w:val="00DB7511"/>
    <w:rsid w:val="00DB791B"/>
    <w:rsid w:val="00DC0272"/>
    <w:rsid w:val="00DC05B1"/>
    <w:rsid w:val="00DC1717"/>
    <w:rsid w:val="00DC1BAB"/>
    <w:rsid w:val="00DC2CC0"/>
    <w:rsid w:val="00DC3EDC"/>
    <w:rsid w:val="00DC4175"/>
    <w:rsid w:val="00DC4306"/>
    <w:rsid w:val="00DC6C82"/>
    <w:rsid w:val="00DC7704"/>
    <w:rsid w:val="00DC7F5A"/>
    <w:rsid w:val="00DD0199"/>
    <w:rsid w:val="00DD0342"/>
    <w:rsid w:val="00DD266B"/>
    <w:rsid w:val="00DD29FA"/>
    <w:rsid w:val="00DD2C7E"/>
    <w:rsid w:val="00DD37F0"/>
    <w:rsid w:val="00DD453E"/>
    <w:rsid w:val="00DD4B8B"/>
    <w:rsid w:val="00DD6C96"/>
    <w:rsid w:val="00DE00B6"/>
    <w:rsid w:val="00DE0B7A"/>
    <w:rsid w:val="00DE1236"/>
    <w:rsid w:val="00DE1330"/>
    <w:rsid w:val="00DE2738"/>
    <w:rsid w:val="00DE2907"/>
    <w:rsid w:val="00DE2B2E"/>
    <w:rsid w:val="00DE33F8"/>
    <w:rsid w:val="00DE414F"/>
    <w:rsid w:val="00DE451F"/>
    <w:rsid w:val="00DE490C"/>
    <w:rsid w:val="00DE4C3D"/>
    <w:rsid w:val="00DE5864"/>
    <w:rsid w:val="00DE589B"/>
    <w:rsid w:val="00DE5B95"/>
    <w:rsid w:val="00DE6C21"/>
    <w:rsid w:val="00DE6EC2"/>
    <w:rsid w:val="00DF06D7"/>
    <w:rsid w:val="00DF1DA0"/>
    <w:rsid w:val="00DF227B"/>
    <w:rsid w:val="00DF2C77"/>
    <w:rsid w:val="00DF3E30"/>
    <w:rsid w:val="00DF42D1"/>
    <w:rsid w:val="00DF5289"/>
    <w:rsid w:val="00DF5301"/>
    <w:rsid w:val="00DF5A08"/>
    <w:rsid w:val="00DF5BB3"/>
    <w:rsid w:val="00DF5E29"/>
    <w:rsid w:val="00DF648F"/>
    <w:rsid w:val="00DF6530"/>
    <w:rsid w:val="00DF668F"/>
    <w:rsid w:val="00DF704C"/>
    <w:rsid w:val="00DF7826"/>
    <w:rsid w:val="00DF7FD3"/>
    <w:rsid w:val="00E00062"/>
    <w:rsid w:val="00E00794"/>
    <w:rsid w:val="00E01289"/>
    <w:rsid w:val="00E016A6"/>
    <w:rsid w:val="00E02202"/>
    <w:rsid w:val="00E029C2"/>
    <w:rsid w:val="00E02A2D"/>
    <w:rsid w:val="00E03497"/>
    <w:rsid w:val="00E03A05"/>
    <w:rsid w:val="00E04DF6"/>
    <w:rsid w:val="00E05074"/>
    <w:rsid w:val="00E05223"/>
    <w:rsid w:val="00E057F1"/>
    <w:rsid w:val="00E07352"/>
    <w:rsid w:val="00E1180A"/>
    <w:rsid w:val="00E127F8"/>
    <w:rsid w:val="00E12A2B"/>
    <w:rsid w:val="00E13417"/>
    <w:rsid w:val="00E15A98"/>
    <w:rsid w:val="00E15ECE"/>
    <w:rsid w:val="00E162C0"/>
    <w:rsid w:val="00E16B13"/>
    <w:rsid w:val="00E17093"/>
    <w:rsid w:val="00E20599"/>
    <w:rsid w:val="00E207FC"/>
    <w:rsid w:val="00E23D53"/>
    <w:rsid w:val="00E23F8B"/>
    <w:rsid w:val="00E24008"/>
    <w:rsid w:val="00E241B1"/>
    <w:rsid w:val="00E24512"/>
    <w:rsid w:val="00E24627"/>
    <w:rsid w:val="00E25F47"/>
    <w:rsid w:val="00E2737F"/>
    <w:rsid w:val="00E2739D"/>
    <w:rsid w:val="00E27A00"/>
    <w:rsid w:val="00E30DD8"/>
    <w:rsid w:val="00E31290"/>
    <w:rsid w:val="00E320DB"/>
    <w:rsid w:val="00E328E8"/>
    <w:rsid w:val="00E32EE7"/>
    <w:rsid w:val="00E3312D"/>
    <w:rsid w:val="00E3334C"/>
    <w:rsid w:val="00E33D99"/>
    <w:rsid w:val="00E34429"/>
    <w:rsid w:val="00E3580C"/>
    <w:rsid w:val="00E35CDE"/>
    <w:rsid w:val="00E415F7"/>
    <w:rsid w:val="00E42018"/>
    <w:rsid w:val="00E42931"/>
    <w:rsid w:val="00E43636"/>
    <w:rsid w:val="00E437D2"/>
    <w:rsid w:val="00E43923"/>
    <w:rsid w:val="00E43974"/>
    <w:rsid w:val="00E43E03"/>
    <w:rsid w:val="00E44671"/>
    <w:rsid w:val="00E460B2"/>
    <w:rsid w:val="00E4632A"/>
    <w:rsid w:val="00E46B14"/>
    <w:rsid w:val="00E502E2"/>
    <w:rsid w:val="00E51A9C"/>
    <w:rsid w:val="00E51D30"/>
    <w:rsid w:val="00E51E92"/>
    <w:rsid w:val="00E51F21"/>
    <w:rsid w:val="00E525A9"/>
    <w:rsid w:val="00E53683"/>
    <w:rsid w:val="00E53CC6"/>
    <w:rsid w:val="00E53F1E"/>
    <w:rsid w:val="00E5430D"/>
    <w:rsid w:val="00E54F9A"/>
    <w:rsid w:val="00E5566F"/>
    <w:rsid w:val="00E55944"/>
    <w:rsid w:val="00E55BF3"/>
    <w:rsid w:val="00E55C93"/>
    <w:rsid w:val="00E55E6A"/>
    <w:rsid w:val="00E60997"/>
    <w:rsid w:val="00E618BD"/>
    <w:rsid w:val="00E61B10"/>
    <w:rsid w:val="00E61E1E"/>
    <w:rsid w:val="00E62861"/>
    <w:rsid w:val="00E644D3"/>
    <w:rsid w:val="00E64FA0"/>
    <w:rsid w:val="00E65240"/>
    <w:rsid w:val="00E66304"/>
    <w:rsid w:val="00E66384"/>
    <w:rsid w:val="00E67064"/>
    <w:rsid w:val="00E707A5"/>
    <w:rsid w:val="00E70DE1"/>
    <w:rsid w:val="00E71325"/>
    <w:rsid w:val="00E7177D"/>
    <w:rsid w:val="00E71CC6"/>
    <w:rsid w:val="00E72825"/>
    <w:rsid w:val="00E72885"/>
    <w:rsid w:val="00E72ECC"/>
    <w:rsid w:val="00E746BD"/>
    <w:rsid w:val="00E746BF"/>
    <w:rsid w:val="00E74C11"/>
    <w:rsid w:val="00E75FA4"/>
    <w:rsid w:val="00E764C6"/>
    <w:rsid w:val="00E767E5"/>
    <w:rsid w:val="00E77855"/>
    <w:rsid w:val="00E779A8"/>
    <w:rsid w:val="00E77B25"/>
    <w:rsid w:val="00E817FF"/>
    <w:rsid w:val="00E823D2"/>
    <w:rsid w:val="00E83D2D"/>
    <w:rsid w:val="00E8452D"/>
    <w:rsid w:val="00E86190"/>
    <w:rsid w:val="00E879BF"/>
    <w:rsid w:val="00E879D3"/>
    <w:rsid w:val="00E90701"/>
    <w:rsid w:val="00E90B8C"/>
    <w:rsid w:val="00E90E3D"/>
    <w:rsid w:val="00E911FA"/>
    <w:rsid w:val="00E912CD"/>
    <w:rsid w:val="00E914A7"/>
    <w:rsid w:val="00E91573"/>
    <w:rsid w:val="00E91971"/>
    <w:rsid w:val="00E91A2C"/>
    <w:rsid w:val="00E92EA9"/>
    <w:rsid w:val="00E938B8"/>
    <w:rsid w:val="00E94004"/>
    <w:rsid w:val="00E94329"/>
    <w:rsid w:val="00E943EC"/>
    <w:rsid w:val="00E94442"/>
    <w:rsid w:val="00E94A81"/>
    <w:rsid w:val="00E957A1"/>
    <w:rsid w:val="00E9684A"/>
    <w:rsid w:val="00EA007D"/>
    <w:rsid w:val="00EA0692"/>
    <w:rsid w:val="00EA1002"/>
    <w:rsid w:val="00EA126E"/>
    <w:rsid w:val="00EA146B"/>
    <w:rsid w:val="00EA1A96"/>
    <w:rsid w:val="00EA20A9"/>
    <w:rsid w:val="00EA2161"/>
    <w:rsid w:val="00EA21FE"/>
    <w:rsid w:val="00EA2A2D"/>
    <w:rsid w:val="00EA30FA"/>
    <w:rsid w:val="00EA3149"/>
    <w:rsid w:val="00EA3576"/>
    <w:rsid w:val="00EA3AC8"/>
    <w:rsid w:val="00EA6017"/>
    <w:rsid w:val="00EA62E5"/>
    <w:rsid w:val="00EA6FE0"/>
    <w:rsid w:val="00EB02BE"/>
    <w:rsid w:val="00EB0D21"/>
    <w:rsid w:val="00EB2279"/>
    <w:rsid w:val="00EB264D"/>
    <w:rsid w:val="00EB28A2"/>
    <w:rsid w:val="00EB2C43"/>
    <w:rsid w:val="00EB2D27"/>
    <w:rsid w:val="00EB3432"/>
    <w:rsid w:val="00EB4BCC"/>
    <w:rsid w:val="00EB4D27"/>
    <w:rsid w:val="00EB4D36"/>
    <w:rsid w:val="00EB5370"/>
    <w:rsid w:val="00EB5F53"/>
    <w:rsid w:val="00EB6705"/>
    <w:rsid w:val="00EB6FAC"/>
    <w:rsid w:val="00EB74A6"/>
    <w:rsid w:val="00EC124E"/>
    <w:rsid w:val="00EC2790"/>
    <w:rsid w:val="00EC2D6A"/>
    <w:rsid w:val="00EC2EF7"/>
    <w:rsid w:val="00EC3412"/>
    <w:rsid w:val="00EC396F"/>
    <w:rsid w:val="00EC3A4F"/>
    <w:rsid w:val="00EC4EB8"/>
    <w:rsid w:val="00EC5691"/>
    <w:rsid w:val="00EC5857"/>
    <w:rsid w:val="00EC63E1"/>
    <w:rsid w:val="00EC68D2"/>
    <w:rsid w:val="00EC6F1B"/>
    <w:rsid w:val="00EC7068"/>
    <w:rsid w:val="00EC7153"/>
    <w:rsid w:val="00EC7C0D"/>
    <w:rsid w:val="00ED0D28"/>
    <w:rsid w:val="00ED0FA4"/>
    <w:rsid w:val="00ED13DB"/>
    <w:rsid w:val="00ED183B"/>
    <w:rsid w:val="00ED1E37"/>
    <w:rsid w:val="00ED2EC0"/>
    <w:rsid w:val="00ED3A03"/>
    <w:rsid w:val="00ED44B8"/>
    <w:rsid w:val="00ED48DA"/>
    <w:rsid w:val="00ED590B"/>
    <w:rsid w:val="00ED6402"/>
    <w:rsid w:val="00ED69EA"/>
    <w:rsid w:val="00ED71A4"/>
    <w:rsid w:val="00ED72B3"/>
    <w:rsid w:val="00ED7361"/>
    <w:rsid w:val="00ED74CA"/>
    <w:rsid w:val="00ED7B44"/>
    <w:rsid w:val="00EE09F3"/>
    <w:rsid w:val="00EE0B1B"/>
    <w:rsid w:val="00EE1340"/>
    <w:rsid w:val="00EE1932"/>
    <w:rsid w:val="00EE2409"/>
    <w:rsid w:val="00EE25EA"/>
    <w:rsid w:val="00EE2717"/>
    <w:rsid w:val="00EE368A"/>
    <w:rsid w:val="00EE4AD3"/>
    <w:rsid w:val="00EE58F6"/>
    <w:rsid w:val="00EE594F"/>
    <w:rsid w:val="00EE5DC0"/>
    <w:rsid w:val="00EE6729"/>
    <w:rsid w:val="00EF1127"/>
    <w:rsid w:val="00EF14FA"/>
    <w:rsid w:val="00EF187D"/>
    <w:rsid w:val="00EF1985"/>
    <w:rsid w:val="00EF2B50"/>
    <w:rsid w:val="00EF3867"/>
    <w:rsid w:val="00EF492A"/>
    <w:rsid w:val="00EF4975"/>
    <w:rsid w:val="00EF592A"/>
    <w:rsid w:val="00EF61A2"/>
    <w:rsid w:val="00EF65E7"/>
    <w:rsid w:val="00EF6EE8"/>
    <w:rsid w:val="00EF7046"/>
    <w:rsid w:val="00EF7A60"/>
    <w:rsid w:val="00EF7B26"/>
    <w:rsid w:val="00F003D0"/>
    <w:rsid w:val="00F00B0A"/>
    <w:rsid w:val="00F015B0"/>
    <w:rsid w:val="00F01A35"/>
    <w:rsid w:val="00F01E7C"/>
    <w:rsid w:val="00F03512"/>
    <w:rsid w:val="00F0385A"/>
    <w:rsid w:val="00F04199"/>
    <w:rsid w:val="00F05383"/>
    <w:rsid w:val="00F055DA"/>
    <w:rsid w:val="00F05CDB"/>
    <w:rsid w:val="00F06DD8"/>
    <w:rsid w:val="00F07175"/>
    <w:rsid w:val="00F07C0F"/>
    <w:rsid w:val="00F105BF"/>
    <w:rsid w:val="00F108F6"/>
    <w:rsid w:val="00F11014"/>
    <w:rsid w:val="00F1156C"/>
    <w:rsid w:val="00F11E1C"/>
    <w:rsid w:val="00F11E5C"/>
    <w:rsid w:val="00F11FC0"/>
    <w:rsid w:val="00F120AF"/>
    <w:rsid w:val="00F13D08"/>
    <w:rsid w:val="00F13D7A"/>
    <w:rsid w:val="00F169E2"/>
    <w:rsid w:val="00F16A16"/>
    <w:rsid w:val="00F16A52"/>
    <w:rsid w:val="00F16ACD"/>
    <w:rsid w:val="00F16FA0"/>
    <w:rsid w:val="00F16FAF"/>
    <w:rsid w:val="00F17BEA"/>
    <w:rsid w:val="00F20C5B"/>
    <w:rsid w:val="00F21709"/>
    <w:rsid w:val="00F21D72"/>
    <w:rsid w:val="00F21E51"/>
    <w:rsid w:val="00F21E68"/>
    <w:rsid w:val="00F21ED5"/>
    <w:rsid w:val="00F23AEC"/>
    <w:rsid w:val="00F244B2"/>
    <w:rsid w:val="00F246A7"/>
    <w:rsid w:val="00F24B4E"/>
    <w:rsid w:val="00F25782"/>
    <w:rsid w:val="00F261DC"/>
    <w:rsid w:val="00F266E4"/>
    <w:rsid w:val="00F27D5F"/>
    <w:rsid w:val="00F27E09"/>
    <w:rsid w:val="00F30252"/>
    <w:rsid w:val="00F3050D"/>
    <w:rsid w:val="00F32033"/>
    <w:rsid w:val="00F3259F"/>
    <w:rsid w:val="00F34314"/>
    <w:rsid w:val="00F346B4"/>
    <w:rsid w:val="00F3493D"/>
    <w:rsid w:val="00F34D14"/>
    <w:rsid w:val="00F35040"/>
    <w:rsid w:val="00F350DF"/>
    <w:rsid w:val="00F35BBB"/>
    <w:rsid w:val="00F35E17"/>
    <w:rsid w:val="00F3620B"/>
    <w:rsid w:val="00F367F2"/>
    <w:rsid w:val="00F37D25"/>
    <w:rsid w:val="00F37F4E"/>
    <w:rsid w:val="00F41EE1"/>
    <w:rsid w:val="00F42243"/>
    <w:rsid w:val="00F433BC"/>
    <w:rsid w:val="00F43AF7"/>
    <w:rsid w:val="00F446BB"/>
    <w:rsid w:val="00F449BD"/>
    <w:rsid w:val="00F46D34"/>
    <w:rsid w:val="00F4736C"/>
    <w:rsid w:val="00F500D0"/>
    <w:rsid w:val="00F502BE"/>
    <w:rsid w:val="00F508BA"/>
    <w:rsid w:val="00F50FB6"/>
    <w:rsid w:val="00F52073"/>
    <w:rsid w:val="00F521DC"/>
    <w:rsid w:val="00F53133"/>
    <w:rsid w:val="00F55C6D"/>
    <w:rsid w:val="00F57670"/>
    <w:rsid w:val="00F601F9"/>
    <w:rsid w:val="00F60791"/>
    <w:rsid w:val="00F60CE0"/>
    <w:rsid w:val="00F61711"/>
    <w:rsid w:val="00F61EB2"/>
    <w:rsid w:val="00F61EC4"/>
    <w:rsid w:val="00F6239A"/>
    <w:rsid w:val="00F6304E"/>
    <w:rsid w:val="00F63CCA"/>
    <w:rsid w:val="00F63FB1"/>
    <w:rsid w:val="00F64764"/>
    <w:rsid w:val="00F64970"/>
    <w:rsid w:val="00F64FAD"/>
    <w:rsid w:val="00F655E7"/>
    <w:rsid w:val="00F65B92"/>
    <w:rsid w:val="00F65E2E"/>
    <w:rsid w:val="00F669DE"/>
    <w:rsid w:val="00F66B2B"/>
    <w:rsid w:val="00F6702C"/>
    <w:rsid w:val="00F6743C"/>
    <w:rsid w:val="00F67606"/>
    <w:rsid w:val="00F727EC"/>
    <w:rsid w:val="00F72B78"/>
    <w:rsid w:val="00F73E62"/>
    <w:rsid w:val="00F73F60"/>
    <w:rsid w:val="00F743F2"/>
    <w:rsid w:val="00F74C1A"/>
    <w:rsid w:val="00F74E69"/>
    <w:rsid w:val="00F74FA0"/>
    <w:rsid w:val="00F76205"/>
    <w:rsid w:val="00F76FCB"/>
    <w:rsid w:val="00F80B5A"/>
    <w:rsid w:val="00F81225"/>
    <w:rsid w:val="00F81AEE"/>
    <w:rsid w:val="00F83474"/>
    <w:rsid w:val="00F83FBA"/>
    <w:rsid w:val="00F84EB3"/>
    <w:rsid w:val="00F85145"/>
    <w:rsid w:val="00F857DC"/>
    <w:rsid w:val="00F85E90"/>
    <w:rsid w:val="00F8614C"/>
    <w:rsid w:val="00F87882"/>
    <w:rsid w:val="00F900C9"/>
    <w:rsid w:val="00F905B0"/>
    <w:rsid w:val="00F9144F"/>
    <w:rsid w:val="00F929F7"/>
    <w:rsid w:val="00F92E85"/>
    <w:rsid w:val="00F93574"/>
    <w:rsid w:val="00F9379C"/>
    <w:rsid w:val="00F93EB2"/>
    <w:rsid w:val="00F944EB"/>
    <w:rsid w:val="00F97B54"/>
    <w:rsid w:val="00FA07F4"/>
    <w:rsid w:val="00FA27A2"/>
    <w:rsid w:val="00FA28B7"/>
    <w:rsid w:val="00FA2D92"/>
    <w:rsid w:val="00FA316F"/>
    <w:rsid w:val="00FA361B"/>
    <w:rsid w:val="00FA36BF"/>
    <w:rsid w:val="00FA39A4"/>
    <w:rsid w:val="00FA39D0"/>
    <w:rsid w:val="00FA4092"/>
    <w:rsid w:val="00FA632E"/>
    <w:rsid w:val="00FA64FD"/>
    <w:rsid w:val="00FA6D98"/>
    <w:rsid w:val="00FA7903"/>
    <w:rsid w:val="00FA79CD"/>
    <w:rsid w:val="00FA7BBD"/>
    <w:rsid w:val="00FB01EB"/>
    <w:rsid w:val="00FB0207"/>
    <w:rsid w:val="00FB0E79"/>
    <w:rsid w:val="00FB1D2D"/>
    <w:rsid w:val="00FB2935"/>
    <w:rsid w:val="00FB2A2B"/>
    <w:rsid w:val="00FB2C52"/>
    <w:rsid w:val="00FB2CDA"/>
    <w:rsid w:val="00FB3AAF"/>
    <w:rsid w:val="00FB4867"/>
    <w:rsid w:val="00FB515C"/>
    <w:rsid w:val="00FB5655"/>
    <w:rsid w:val="00FB6002"/>
    <w:rsid w:val="00FB6785"/>
    <w:rsid w:val="00FB7D38"/>
    <w:rsid w:val="00FC0244"/>
    <w:rsid w:val="00FC0313"/>
    <w:rsid w:val="00FC1E8A"/>
    <w:rsid w:val="00FC28D8"/>
    <w:rsid w:val="00FC3BEC"/>
    <w:rsid w:val="00FC3C4C"/>
    <w:rsid w:val="00FC3E84"/>
    <w:rsid w:val="00FC4036"/>
    <w:rsid w:val="00FC423B"/>
    <w:rsid w:val="00FC4324"/>
    <w:rsid w:val="00FC4953"/>
    <w:rsid w:val="00FC5733"/>
    <w:rsid w:val="00FC5AE0"/>
    <w:rsid w:val="00FC625A"/>
    <w:rsid w:val="00FC65FC"/>
    <w:rsid w:val="00FC725F"/>
    <w:rsid w:val="00FD0A0D"/>
    <w:rsid w:val="00FD11D4"/>
    <w:rsid w:val="00FD2687"/>
    <w:rsid w:val="00FD3A83"/>
    <w:rsid w:val="00FD3BD7"/>
    <w:rsid w:val="00FD3F07"/>
    <w:rsid w:val="00FD42DB"/>
    <w:rsid w:val="00FD440E"/>
    <w:rsid w:val="00FD48CA"/>
    <w:rsid w:val="00FD4919"/>
    <w:rsid w:val="00FD4EB2"/>
    <w:rsid w:val="00FD56DD"/>
    <w:rsid w:val="00FD5AC7"/>
    <w:rsid w:val="00FD606C"/>
    <w:rsid w:val="00FD60C7"/>
    <w:rsid w:val="00FD62E0"/>
    <w:rsid w:val="00FD77BA"/>
    <w:rsid w:val="00FD7B89"/>
    <w:rsid w:val="00FE0843"/>
    <w:rsid w:val="00FE0DE5"/>
    <w:rsid w:val="00FE4AFC"/>
    <w:rsid w:val="00FE5747"/>
    <w:rsid w:val="00FE5996"/>
    <w:rsid w:val="00FE5F41"/>
    <w:rsid w:val="00FE6637"/>
    <w:rsid w:val="00FE6FAF"/>
    <w:rsid w:val="00FE6FBC"/>
    <w:rsid w:val="00FE779D"/>
    <w:rsid w:val="00FE7B79"/>
    <w:rsid w:val="00FE7BEA"/>
    <w:rsid w:val="00FE7C0D"/>
    <w:rsid w:val="00FF03E1"/>
    <w:rsid w:val="00FF049F"/>
    <w:rsid w:val="00FF0A2C"/>
    <w:rsid w:val="00FF15AA"/>
    <w:rsid w:val="00FF16A8"/>
    <w:rsid w:val="00FF2114"/>
    <w:rsid w:val="00FF2AA7"/>
    <w:rsid w:val="00FF3310"/>
    <w:rsid w:val="00FF375E"/>
    <w:rsid w:val="00FF3D95"/>
    <w:rsid w:val="00FF415B"/>
    <w:rsid w:val="00FF4826"/>
    <w:rsid w:val="00FF4A19"/>
    <w:rsid w:val="00FF4A40"/>
    <w:rsid w:val="00FF7012"/>
    <w:rsid w:val="00FF74F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1650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4C12D2"/>
  </w:style>
  <w:style w:type="paragraph" w:styleId="Heading1">
    <w:name w:val="heading 1"/>
    <w:basedOn w:val="Normal"/>
    <w:link w:val="Heading1Char"/>
    <w:uiPriority w:val="9"/>
    <w:rsid w:val="0035393A"/>
    <w:pPr>
      <w:spacing w:beforeLines="1" w:afterLines="1"/>
      <w:outlineLvl w:val="0"/>
    </w:pPr>
    <w:rPr>
      <w:rFonts w:ascii="Times" w:hAnsi="Times"/>
      <w:b/>
      <w:kern w:val="36"/>
      <w:sz w:val="48"/>
      <w:szCs w:val="20"/>
    </w:rPr>
  </w:style>
  <w:style w:type="paragraph" w:styleId="Heading4">
    <w:name w:val="heading 4"/>
    <w:basedOn w:val="Normal"/>
    <w:next w:val="Normal"/>
    <w:link w:val="Heading4Char"/>
    <w:rsid w:val="009A4A5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0F759B"/>
    <w:pPr>
      <w:spacing w:after="0"/>
    </w:pPr>
    <w:rPr>
      <w:rFonts w:ascii="Lucida Grande" w:hAnsi="Lucida Grande" w:cs="Lucida Grande"/>
      <w:sz w:val="18"/>
      <w:szCs w:val="18"/>
    </w:rPr>
  </w:style>
  <w:style w:type="character" w:customStyle="1" w:styleId="BalloonTextChar">
    <w:name w:val="Balloon Text Char"/>
    <w:basedOn w:val="DefaultParagraphFont"/>
    <w:uiPriority w:val="99"/>
    <w:semiHidden/>
    <w:rsid w:val="00987D0B"/>
    <w:rPr>
      <w:rFonts w:ascii="Lucida Grande" w:hAnsi="Lucida Grande"/>
      <w:sz w:val="18"/>
      <w:szCs w:val="18"/>
    </w:rPr>
  </w:style>
  <w:style w:type="character" w:customStyle="1" w:styleId="BalloonTextChar0">
    <w:name w:val="Balloon Text Char"/>
    <w:basedOn w:val="DefaultParagraphFont"/>
    <w:uiPriority w:val="99"/>
    <w:semiHidden/>
    <w:rsid w:val="00D23D05"/>
    <w:rPr>
      <w:rFonts w:ascii="Lucida Grande" w:hAnsi="Lucida Grande" w:cs="Lucida Grande"/>
      <w:sz w:val="18"/>
      <w:szCs w:val="18"/>
    </w:rPr>
  </w:style>
  <w:style w:type="character" w:customStyle="1" w:styleId="BalloonTextChar2">
    <w:name w:val="Balloon Text Char"/>
    <w:basedOn w:val="DefaultParagraphFont"/>
    <w:uiPriority w:val="99"/>
    <w:semiHidden/>
    <w:rsid w:val="00D23D05"/>
    <w:rPr>
      <w:rFonts w:ascii="Lucida Grande" w:hAnsi="Lucida Grande" w:cs="Lucida Grande"/>
      <w:sz w:val="18"/>
      <w:szCs w:val="18"/>
    </w:rPr>
  </w:style>
  <w:style w:type="character" w:customStyle="1" w:styleId="BalloonTextChar3">
    <w:name w:val="Balloon Text Char"/>
    <w:basedOn w:val="DefaultParagraphFont"/>
    <w:uiPriority w:val="99"/>
    <w:semiHidden/>
    <w:rsid w:val="00D23D05"/>
    <w:rPr>
      <w:rFonts w:ascii="Lucida Grande" w:hAnsi="Lucida Grande" w:cs="Lucida Grande"/>
      <w:sz w:val="18"/>
      <w:szCs w:val="18"/>
    </w:rPr>
  </w:style>
  <w:style w:type="character" w:customStyle="1" w:styleId="BalloonTextChar4">
    <w:name w:val="Balloon Text Char"/>
    <w:basedOn w:val="DefaultParagraphFont"/>
    <w:uiPriority w:val="99"/>
    <w:semiHidden/>
    <w:rsid w:val="00D23D05"/>
    <w:rPr>
      <w:rFonts w:ascii="Lucida Grande" w:hAnsi="Lucida Grande" w:cs="Lucida Grande"/>
      <w:sz w:val="18"/>
      <w:szCs w:val="18"/>
    </w:rPr>
  </w:style>
  <w:style w:type="character" w:customStyle="1" w:styleId="BalloonTextChar5">
    <w:name w:val="Balloon Text Char"/>
    <w:basedOn w:val="DefaultParagraphFont"/>
    <w:uiPriority w:val="99"/>
    <w:semiHidden/>
    <w:rsid w:val="00D23D05"/>
    <w:rPr>
      <w:rFonts w:ascii="Lucida Grande" w:hAnsi="Lucida Grande" w:cs="Lucida Grande"/>
      <w:sz w:val="18"/>
      <w:szCs w:val="18"/>
    </w:rPr>
  </w:style>
  <w:style w:type="character" w:customStyle="1" w:styleId="BalloonTextChar1">
    <w:name w:val="Balloon Text Char1"/>
    <w:basedOn w:val="DefaultParagraphFont"/>
    <w:link w:val="BalloonText"/>
    <w:uiPriority w:val="99"/>
    <w:semiHidden/>
    <w:rsid w:val="000F759B"/>
    <w:rPr>
      <w:rFonts w:ascii="Lucida Grande" w:hAnsi="Lucida Grande" w:cs="Lucida Grande"/>
      <w:sz w:val="18"/>
      <w:szCs w:val="18"/>
    </w:rPr>
  </w:style>
  <w:style w:type="paragraph" w:styleId="ListParagraph">
    <w:name w:val="List Paragraph"/>
    <w:basedOn w:val="Normal"/>
    <w:uiPriority w:val="34"/>
    <w:qFormat/>
    <w:rsid w:val="009825ED"/>
    <w:pPr>
      <w:ind w:left="720"/>
      <w:contextualSpacing/>
    </w:pPr>
  </w:style>
  <w:style w:type="character" w:customStyle="1" w:styleId="Heading1Char">
    <w:name w:val="Heading 1 Char"/>
    <w:basedOn w:val="DefaultParagraphFont"/>
    <w:link w:val="Heading1"/>
    <w:uiPriority w:val="9"/>
    <w:rsid w:val="0035393A"/>
    <w:rPr>
      <w:rFonts w:ascii="Times" w:hAnsi="Times"/>
      <w:b/>
      <w:kern w:val="36"/>
      <w:sz w:val="48"/>
      <w:szCs w:val="20"/>
    </w:rPr>
  </w:style>
  <w:style w:type="character" w:customStyle="1" w:styleId="c0">
    <w:name w:val="c0"/>
    <w:basedOn w:val="DefaultParagraphFont"/>
    <w:rsid w:val="0035393A"/>
  </w:style>
  <w:style w:type="paragraph" w:styleId="FootnoteText">
    <w:name w:val="footnote text"/>
    <w:basedOn w:val="Normal"/>
    <w:link w:val="FootnoteTextChar"/>
    <w:uiPriority w:val="99"/>
    <w:unhideWhenUsed/>
    <w:rsid w:val="00FF7012"/>
    <w:pPr>
      <w:spacing w:after="0"/>
    </w:pPr>
  </w:style>
  <w:style w:type="character" w:customStyle="1" w:styleId="FootnoteTextChar">
    <w:name w:val="Footnote Text Char"/>
    <w:basedOn w:val="DefaultParagraphFont"/>
    <w:link w:val="FootnoteText"/>
    <w:uiPriority w:val="99"/>
    <w:rsid w:val="00FF7012"/>
  </w:style>
  <w:style w:type="character" w:styleId="FootnoteReference">
    <w:name w:val="footnote reference"/>
    <w:basedOn w:val="DefaultParagraphFont"/>
    <w:uiPriority w:val="99"/>
    <w:semiHidden/>
    <w:unhideWhenUsed/>
    <w:rsid w:val="00FF7012"/>
    <w:rPr>
      <w:vertAlign w:val="superscript"/>
    </w:rPr>
  </w:style>
  <w:style w:type="character" w:styleId="CommentReference">
    <w:name w:val="annotation reference"/>
    <w:basedOn w:val="DefaultParagraphFont"/>
    <w:uiPriority w:val="99"/>
    <w:semiHidden/>
    <w:unhideWhenUsed/>
    <w:rsid w:val="00771A81"/>
    <w:rPr>
      <w:sz w:val="18"/>
      <w:szCs w:val="18"/>
    </w:rPr>
  </w:style>
  <w:style w:type="paragraph" w:styleId="CommentText">
    <w:name w:val="annotation text"/>
    <w:basedOn w:val="Normal"/>
    <w:link w:val="CommentTextChar"/>
    <w:uiPriority w:val="99"/>
    <w:semiHidden/>
    <w:unhideWhenUsed/>
    <w:rsid w:val="00771A81"/>
  </w:style>
  <w:style w:type="character" w:customStyle="1" w:styleId="CommentTextChar">
    <w:name w:val="Comment Text Char"/>
    <w:basedOn w:val="DefaultParagraphFont"/>
    <w:link w:val="CommentText"/>
    <w:uiPriority w:val="99"/>
    <w:semiHidden/>
    <w:rsid w:val="00771A81"/>
  </w:style>
  <w:style w:type="paragraph" w:styleId="CommentSubject">
    <w:name w:val="annotation subject"/>
    <w:basedOn w:val="CommentText"/>
    <w:next w:val="CommentText"/>
    <w:link w:val="CommentSubjectChar"/>
    <w:uiPriority w:val="99"/>
    <w:semiHidden/>
    <w:unhideWhenUsed/>
    <w:rsid w:val="00771A81"/>
    <w:rPr>
      <w:b/>
      <w:bCs/>
      <w:sz w:val="20"/>
      <w:szCs w:val="20"/>
    </w:rPr>
  </w:style>
  <w:style w:type="character" w:customStyle="1" w:styleId="CommentSubjectChar">
    <w:name w:val="Comment Subject Char"/>
    <w:basedOn w:val="CommentTextChar"/>
    <w:link w:val="CommentSubject"/>
    <w:uiPriority w:val="99"/>
    <w:semiHidden/>
    <w:rsid w:val="00771A81"/>
    <w:rPr>
      <w:b/>
      <w:bCs/>
      <w:sz w:val="20"/>
      <w:szCs w:val="20"/>
    </w:rPr>
  </w:style>
  <w:style w:type="character" w:customStyle="1" w:styleId="rphighlightallclassrphighlightsubjectclass">
    <w:name w:val="rphighlightallclass rphighlightsubjectclass"/>
    <w:basedOn w:val="DefaultParagraphFont"/>
    <w:rsid w:val="009B6A3A"/>
  </w:style>
  <w:style w:type="paragraph" w:styleId="Header">
    <w:name w:val="header"/>
    <w:basedOn w:val="Normal"/>
    <w:link w:val="HeaderChar"/>
    <w:rsid w:val="00B7345A"/>
    <w:pPr>
      <w:tabs>
        <w:tab w:val="center" w:pos="4320"/>
        <w:tab w:val="right" w:pos="8640"/>
      </w:tabs>
      <w:spacing w:after="0"/>
    </w:pPr>
  </w:style>
  <w:style w:type="character" w:customStyle="1" w:styleId="HeaderChar">
    <w:name w:val="Header Char"/>
    <w:basedOn w:val="DefaultParagraphFont"/>
    <w:link w:val="Header"/>
    <w:rsid w:val="00B7345A"/>
  </w:style>
  <w:style w:type="paragraph" w:styleId="Footer">
    <w:name w:val="footer"/>
    <w:basedOn w:val="Normal"/>
    <w:link w:val="FooterChar"/>
    <w:rsid w:val="00B7345A"/>
    <w:pPr>
      <w:tabs>
        <w:tab w:val="center" w:pos="4320"/>
        <w:tab w:val="right" w:pos="8640"/>
      </w:tabs>
      <w:spacing w:after="0"/>
    </w:pPr>
  </w:style>
  <w:style w:type="character" w:customStyle="1" w:styleId="FooterChar">
    <w:name w:val="Footer Char"/>
    <w:basedOn w:val="DefaultParagraphFont"/>
    <w:link w:val="Footer"/>
    <w:rsid w:val="00B7345A"/>
  </w:style>
  <w:style w:type="character" w:customStyle="1" w:styleId="A1">
    <w:name w:val="A1"/>
    <w:uiPriority w:val="99"/>
    <w:rsid w:val="000D520D"/>
    <w:rPr>
      <w:rFonts w:cs="Times"/>
      <w:color w:val="221E1F"/>
      <w:sz w:val="18"/>
      <w:szCs w:val="18"/>
    </w:rPr>
  </w:style>
  <w:style w:type="paragraph" w:styleId="BodyText2">
    <w:name w:val="Body Text 2"/>
    <w:basedOn w:val="Normal"/>
    <w:link w:val="BodyText2Char"/>
    <w:uiPriority w:val="99"/>
    <w:rsid w:val="00042ED2"/>
    <w:pPr>
      <w:spacing w:beforeLines="1" w:afterLines="1"/>
    </w:pPr>
    <w:rPr>
      <w:rFonts w:ascii="Times" w:hAnsi="Times"/>
      <w:sz w:val="20"/>
      <w:szCs w:val="20"/>
      <w:lang w:val="en-GB"/>
    </w:rPr>
  </w:style>
  <w:style w:type="character" w:customStyle="1" w:styleId="BodyText2Char">
    <w:name w:val="Body Text 2 Char"/>
    <w:basedOn w:val="DefaultParagraphFont"/>
    <w:link w:val="BodyText2"/>
    <w:uiPriority w:val="99"/>
    <w:rsid w:val="00042ED2"/>
    <w:rPr>
      <w:rFonts w:ascii="Times" w:hAnsi="Times"/>
      <w:sz w:val="20"/>
      <w:szCs w:val="20"/>
      <w:lang w:val="en-GB"/>
    </w:rPr>
  </w:style>
  <w:style w:type="character" w:styleId="Emphasis">
    <w:name w:val="Emphasis"/>
    <w:basedOn w:val="DefaultParagraphFont"/>
    <w:uiPriority w:val="20"/>
    <w:rsid w:val="00E5430D"/>
    <w:rPr>
      <w:i/>
    </w:rPr>
  </w:style>
  <w:style w:type="paragraph" w:styleId="NoSpacing">
    <w:name w:val="No Spacing"/>
    <w:uiPriority w:val="1"/>
    <w:qFormat/>
    <w:rsid w:val="003D1F4A"/>
    <w:pPr>
      <w:spacing w:after="0"/>
    </w:pPr>
    <w:rPr>
      <w:rFonts w:eastAsiaTheme="minorEastAsia"/>
      <w:lang w:val="en-GB"/>
    </w:rPr>
  </w:style>
  <w:style w:type="character" w:customStyle="1" w:styleId="il">
    <w:name w:val="il"/>
    <w:basedOn w:val="DefaultParagraphFont"/>
    <w:rsid w:val="008F568A"/>
  </w:style>
  <w:style w:type="character" w:styleId="Hyperlink">
    <w:name w:val="Hyperlink"/>
    <w:basedOn w:val="DefaultParagraphFont"/>
    <w:uiPriority w:val="99"/>
    <w:rsid w:val="0095403C"/>
    <w:rPr>
      <w:color w:val="0000FF"/>
      <w:u w:val="single"/>
    </w:rPr>
  </w:style>
  <w:style w:type="character" w:customStyle="1" w:styleId="Heading4Char">
    <w:name w:val="Heading 4 Char"/>
    <w:basedOn w:val="DefaultParagraphFont"/>
    <w:link w:val="Heading4"/>
    <w:rsid w:val="009A4A52"/>
    <w:rPr>
      <w:rFonts w:asciiTheme="majorHAnsi" w:eastAsiaTheme="majorEastAsia" w:hAnsiTheme="majorHAnsi" w:cstheme="majorBidi"/>
      <w:b/>
      <w:bCs/>
      <w:i/>
      <w:iCs/>
      <w:color w:val="4F81BD" w:themeColor="accent1"/>
    </w:rPr>
  </w:style>
  <w:style w:type="character" w:customStyle="1" w:styleId="pagenum">
    <w:name w:val="pagenum"/>
    <w:basedOn w:val="DefaultParagraphFont"/>
    <w:rsid w:val="001948B1"/>
  </w:style>
  <w:style w:type="paragraph" w:styleId="EndnoteText">
    <w:name w:val="endnote text"/>
    <w:basedOn w:val="Normal"/>
    <w:link w:val="EndnoteTextChar"/>
    <w:rsid w:val="00763AD2"/>
    <w:pPr>
      <w:spacing w:after="0"/>
    </w:pPr>
  </w:style>
  <w:style w:type="character" w:customStyle="1" w:styleId="EndnoteTextChar">
    <w:name w:val="Endnote Text Char"/>
    <w:basedOn w:val="DefaultParagraphFont"/>
    <w:link w:val="EndnoteText"/>
    <w:rsid w:val="00763AD2"/>
  </w:style>
  <w:style w:type="character" w:styleId="EndnoteReference">
    <w:name w:val="endnote reference"/>
    <w:basedOn w:val="DefaultParagraphFont"/>
    <w:rsid w:val="00763AD2"/>
    <w:rPr>
      <w:vertAlign w:val="superscript"/>
    </w:rPr>
  </w:style>
  <w:style w:type="character" w:customStyle="1" w:styleId="reference-text">
    <w:name w:val="reference-text"/>
    <w:basedOn w:val="DefaultParagraphFont"/>
    <w:rsid w:val="00BE6205"/>
  </w:style>
  <w:style w:type="character" w:styleId="Strong">
    <w:name w:val="Strong"/>
    <w:basedOn w:val="DefaultParagraphFont"/>
    <w:uiPriority w:val="22"/>
    <w:rsid w:val="00786B11"/>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22634">
      <w:bodyDiv w:val="1"/>
      <w:marLeft w:val="0"/>
      <w:marRight w:val="0"/>
      <w:marTop w:val="0"/>
      <w:marBottom w:val="0"/>
      <w:divBdr>
        <w:top w:val="none" w:sz="0" w:space="0" w:color="auto"/>
        <w:left w:val="none" w:sz="0" w:space="0" w:color="auto"/>
        <w:bottom w:val="none" w:sz="0" w:space="0" w:color="auto"/>
        <w:right w:val="none" w:sz="0" w:space="0" w:color="auto"/>
      </w:divBdr>
    </w:div>
    <w:div w:id="315381254">
      <w:bodyDiv w:val="1"/>
      <w:marLeft w:val="0"/>
      <w:marRight w:val="0"/>
      <w:marTop w:val="0"/>
      <w:marBottom w:val="0"/>
      <w:divBdr>
        <w:top w:val="none" w:sz="0" w:space="0" w:color="auto"/>
        <w:left w:val="none" w:sz="0" w:space="0" w:color="auto"/>
        <w:bottom w:val="none" w:sz="0" w:space="0" w:color="auto"/>
        <w:right w:val="none" w:sz="0" w:space="0" w:color="auto"/>
      </w:divBdr>
    </w:div>
    <w:div w:id="440149188">
      <w:bodyDiv w:val="1"/>
      <w:marLeft w:val="0"/>
      <w:marRight w:val="0"/>
      <w:marTop w:val="0"/>
      <w:marBottom w:val="0"/>
      <w:divBdr>
        <w:top w:val="none" w:sz="0" w:space="0" w:color="auto"/>
        <w:left w:val="none" w:sz="0" w:space="0" w:color="auto"/>
        <w:bottom w:val="none" w:sz="0" w:space="0" w:color="auto"/>
        <w:right w:val="none" w:sz="0" w:space="0" w:color="auto"/>
      </w:divBdr>
    </w:div>
    <w:div w:id="599676534">
      <w:bodyDiv w:val="1"/>
      <w:marLeft w:val="0"/>
      <w:marRight w:val="0"/>
      <w:marTop w:val="0"/>
      <w:marBottom w:val="0"/>
      <w:divBdr>
        <w:top w:val="none" w:sz="0" w:space="0" w:color="auto"/>
        <w:left w:val="none" w:sz="0" w:space="0" w:color="auto"/>
        <w:bottom w:val="none" w:sz="0" w:space="0" w:color="auto"/>
        <w:right w:val="none" w:sz="0" w:space="0" w:color="auto"/>
      </w:divBdr>
      <w:divsChild>
        <w:div w:id="1718698073">
          <w:marLeft w:val="0"/>
          <w:marRight w:val="0"/>
          <w:marTop w:val="0"/>
          <w:marBottom w:val="0"/>
          <w:divBdr>
            <w:top w:val="none" w:sz="0" w:space="0" w:color="auto"/>
            <w:left w:val="none" w:sz="0" w:space="0" w:color="auto"/>
            <w:bottom w:val="none" w:sz="0" w:space="0" w:color="auto"/>
            <w:right w:val="none" w:sz="0" w:space="0" w:color="auto"/>
          </w:divBdr>
          <w:divsChild>
            <w:div w:id="1466657749">
              <w:marLeft w:val="0"/>
              <w:marRight w:val="0"/>
              <w:marTop w:val="0"/>
              <w:marBottom w:val="0"/>
              <w:divBdr>
                <w:top w:val="none" w:sz="0" w:space="0" w:color="auto"/>
                <w:left w:val="none" w:sz="0" w:space="0" w:color="auto"/>
                <w:bottom w:val="none" w:sz="0" w:space="0" w:color="auto"/>
                <w:right w:val="none" w:sz="0" w:space="0" w:color="auto"/>
              </w:divBdr>
              <w:divsChild>
                <w:div w:id="45699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88286">
      <w:bodyDiv w:val="1"/>
      <w:marLeft w:val="0"/>
      <w:marRight w:val="0"/>
      <w:marTop w:val="0"/>
      <w:marBottom w:val="0"/>
      <w:divBdr>
        <w:top w:val="none" w:sz="0" w:space="0" w:color="auto"/>
        <w:left w:val="none" w:sz="0" w:space="0" w:color="auto"/>
        <w:bottom w:val="none" w:sz="0" w:space="0" w:color="auto"/>
        <w:right w:val="none" w:sz="0" w:space="0" w:color="auto"/>
      </w:divBdr>
    </w:div>
    <w:div w:id="1232156146">
      <w:bodyDiv w:val="1"/>
      <w:marLeft w:val="0"/>
      <w:marRight w:val="0"/>
      <w:marTop w:val="0"/>
      <w:marBottom w:val="0"/>
      <w:divBdr>
        <w:top w:val="none" w:sz="0" w:space="0" w:color="auto"/>
        <w:left w:val="none" w:sz="0" w:space="0" w:color="auto"/>
        <w:bottom w:val="none" w:sz="0" w:space="0" w:color="auto"/>
        <w:right w:val="none" w:sz="0" w:space="0" w:color="auto"/>
      </w:divBdr>
      <w:divsChild>
        <w:div w:id="5062162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8823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8011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51910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77634154">
      <w:bodyDiv w:val="1"/>
      <w:marLeft w:val="0"/>
      <w:marRight w:val="0"/>
      <w:marTop w:val="0"/>
      <w:marBottom w:val="0"/>
      <w:divBdr>
        <w:top w:val="none" w:sz="0" w:space="0" w:color="auto"/>
        <w:left w:val="none" w:sz="0" w:space="0" w:color="auto"/>
        <w:bottom w:val="none" w:sz="0" w:space="0" w:color="auto"/>
        <w:right w:val="none" w:sz="0" w:space="0" w:color="auto"/>
      </w:divBdr>
    </w:div>
    <w:div w:id="1649091336">
      <w:bodyDiv w:val="1"/>
      <w:marLeft w:val="0"/>
      <w:marRight w:val="0"/>
      <w:marTop w:val="0"/>
      <w:marBottom w:val="0"/>
      <w:divBdr>
        <w:top w:val="none" w:sz="0" w:space="0" w:color="auto"/>
        <w:left w:val="none" w:sz="0" w:space="0" w:color="auto"/>
        <w:bottom w:val="none" w:sz="0" w:space="0" w:color="auto"/>
        <w:right w:val="none" w:sz="0" w:space="0" w:color="auto"/>
      </w:divBdr>
    </w:div>
    <w:div w:id="1686203676">
      <w:bodyDiv w:val="1"/>
      <w:marLeft w:val="0"/>
      <w:marRight w:val="0"/>
      <w:marTop w:val="0"/>
      <w:marBottom w:val="0"/>
      <w:divBdr>
        <w:top w:val="none" w:sz="0" w:space="0" w:color="auto"/>
        <w:left w:val="none" w:sz="0" w:space="0" w:color="auto"/>
        <w:bottom w:val="none" w:sz="0" w:space="0" w:color="auto"/>
        <w:right w:val="none" w:sz="0" w:space="0" w:color="auto"/>
      </w:divBdr>
    </w:div>
    <w:div w:id="1757359003">
      <w:bodyDiv w:val="1"/>
      <w:marLeft w:val="0"/>
      <w:marRight w:val="0"/>
      <w:marTop w:val="0"/>
      <w:marBottom w:val="0"/>
      <w:divBdr>
        <w:top w:val="none" w:sz="0" w:space="0" w:color="auto"/>
        <w:left w:val="none" w:sz="0" w:space="0" w:color="auto"/>
        <w:bottom w:val="none" w:sz="0" w:space="0" w:color="auto"/>
        <w:right w:val="none" w:sz="0" w:space="0" w:color="auto"/>
      </w:divBdr>
    </w:div>
    <w:div w:id="2067681390">
      <w:bodyDiv w:val="1"/>
      <w:marLeft w:val="0"/>
      <w:marRight w:val="0"/>
      <w:marTop w:val="0"/>
      <w:marBottom w:val="0"/>
      <w:divBdr>
        <w:top w:val="none" w:sz="0" w:space="0" w:color="auto"/>
        <w:left w:val="none" w:sz="0" w:space="0" w:color="auto"/>
        <w:bottom w:val="none" w:sz="0" w:space="0" w:color="auto"/>
        <w:right w:val="none" w:sz="0" w:space="0" w:color="auto"/>
      </w:divBdr>
      <w:divsChild>
        <w:div w:id="718820831">
          <w:marLeft w:val="0"/>
          <w:marRight w:val="0"/>
          <w:marTop w:val="0"/>
          <w:marBottom w:val="0"/>
          <w:divBdr>
            <w:top w:val="none" w:sz="0" w:space="0" w:color="auto"/>
            <w:left w:val="none" w:sz="0" w:space="0" w:color="auto"/>
            <w:bottom w:val="none" w:sz="0" w:space="0" w:color="auto"/>
            <w:right w:val="none" w:sz="0" w:space="0" w:color="auto"/>
          </w:divBdr>
          <w:divsChild>
            <w:div w:id="1564213583">
              <w:marLeft w:val="0"/>
              <w:marRight w:val="0"/>
              <w:marTop w:val="0"/>
              <w:marBottom w:val="0"/>
              <w:divBdr>
                <w:top w:val="none" w:sz="0" w:space="0" w:color="auto"/>
                <w:left w:val="none" w:sz="0" w:space="0" w:color="auto"/>
                <w:bottom w:val="none" w:sz="0" w:space="0" w:color="auto"/>
                <w:right w:val="none" w:sz="0" w:space="0" w:color="auto"/>
              </w:divBdr>
              <w:divsChild>
                <w:div w:id="44997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96533">
      <w:bodyDiv w:val="1"/>
      <w:marLeft w:val="0"/>
      <w:marRight w:val="0"/>
      <w:marTop w:val="0"/>
      <w:marBottom w:val="0"/>
      <w:divBdr>
        <w:top w:val="none" w:sz="0" w:space="0" w:color="auto"/>
        <w:left w:val="none" w:sz="0" w:space="0" w:color="auto"/>
        <w:bottom w:val="none" w:sz="0" w:space="0" w:color="auto"/>
        <w:right w:val="none" w:sz="0" w:space="0" w:color="auto"/>
      </w:divBdr>
      <w:divsChild>
        <w:div w:id="933829433">
          <w:marLeft w:val="0"/>
          <w:marRight w:val="0"/>
          <w:marTop w:val="0"/>
          <w:marBottom w:val="0"/>
          <w:divBdr>
            <w:top w:val="none" w:sz="0" w:space="0" w:color="auto"/>
            <w:left w:val="none" w:sz="0" w:space="0" w:color="auto"/>
            <w:bottom w:val="none" w:sz="0" w:space="0" w:color="auto"/>
            <w:right w:val="none" w:sz="0" w:space="0" w:color="auto"/>
          </w:divBdr>
          <w:divsChild>
            <w:div w:id="437721298">
              <w:marLeft w:val="0"/>
              <w:marRight w:val="0"/>
              <w:marTop w:val="0"/>
              <w:marBottom w:val="0"/>
              <w:divBdr>
                <w:top w:val="none" w:sz="0" w:space="0" w:color="auto"/>
                <w:left w:val="none" w:sz="0" w:space="0" w:color="auto"/>
                <w:bottom w:val="none" w:sz="0" w:space="0" w:color="auto"/>
                <w:right w:val="none" w:sz="0" w:space="0" w:color="auto"/>
              </w:divBdr>
              <w:divsChild>
                <w:div w:id="1912883169">
                  <w:marLeft w:val="0"/>
                  <w:marRight w:val="0"/>
                  <w:marTop w:val="0"/>
                  <w:marBottom w:val="0"/>
                  <w:divBdr>
                    <w:top w:val="none" w:sz="0" w:space="0" w:color="auto"/>
                    <w:left w:val="none" w:sz="0" w:space="0" w:color="auto"/>
                    <w:bottom w:val="none" w:sz="0" w:space="0" w:color="auto"/>
                    <w:right w:val="none" w:sz="0" w:space="0" w:color="auto"/>
                  </w:divBdr>
                  <w:divsChild>
                    <w:div w:id="2039230590">
                      <w:marLeft w:val="0"/>
                      <w:marRight w:val="0"/>
                      <w:marTop w:val="0"/>
                      <w:marBottom w:val="0"/>
                      <w:divBdr>
                        <w:top w:val="none" w:sz="0" w:space="0" w:color="auto"/>
                        <w:left w:val="none" w:sz="0" w:space="0" w:color="auto"/>
                        <w:bottom w:val="none" w:sz="0" w:space="0" w:color="auto"/>
                        <w:right w:val="none" w:sz="0" w:space="0" w:color="auto"/>
                      </w:divBdr>
                      <w:divsChild>
                        <w:div w:id="473066657">
                          <w:marLeft w:val="0"/>
                          <w:marRight w:val="0"/>
                          <w:marTop w:val="0"/>
                          <w:marBottom w:val="0"/>
                          <w:divBdr>
                            <w:top w:val="none" w:sz="0" w:space="0" w:color="auto"/>
                            <w:left w:val="none" w:sz="0" w:space="0" w:color="auto"/>
                            <w:bottom w:val="none" w:sz="0" w:space="0" w:color="auto"/>
                            <w:right w:val="none" w:sz="0" w:space="0" w:color="auto"/>
                          </w:divBdr>
                          <w:divsChild>
                            <w:div w:id="39478974">
                              <w:marLeft w:val="0"/>
                              <w:marRight w:val="0"/>
                              <w:marTop w:val="0"/>
                              <w:marBottom w:val="0"/>
                              <w:divBdr>
                                <w:top w:val="none" w:sz="0" w:space="0" w:color="auto"/>
                                <w:left w:val="none" w:sz="0" w:space="0" w:color="auto"/>
                                <w:bottom w:val="none" w:sz="0" w:space="0" w:color="auto"/>
                                <w:right w:val="none" w:sz="0" w:space="0" w:color="auto"/>
                              </w:divBdr>
                              <w:divsChild>
                                <w:div w:id="182682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77472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4161</Words>
  <Characters>23723</Characters>
  <Application>Microsoft Macintosh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Detritos</Company>
  <LinksUpToDate>false</LinksUpToDate>
  <CharactersWithSpaces>27829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Godofredo Pereira</dc:creator>
  <cp:keywords/>
  <cp:lastModifiedBy>Microsoft Office User</cp:lastModifiedBy>
  <cp:revision>2</cp:revision>
  <cp:lastPrinted>2016-11-08T22:08:00Z</cp:lastPrinted>
  <dcterms:created xsi:type="dcterms:W3CDTF">2018-11-19T11:29:00Z</dcterms:created>
  <dcterms:modified xsi:type="dcterms:W3CDTF">2018-11-19T11:29:00Z</dcterms:modified>
</cp:coreProperties>
</file>